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7AAFD" w14:textId="77777777" w:rsidR="00E44DC8" w:rsidRDefault="00E44DC8">
      <w:pPr>
        <w:jc w:val="center"/>
        <w:rPr>
          <w:b/>
          <w:szCs w:val="24"/>
        </w:rPr>
      </w:pPr>
    </w:p>
    <w:p w14:paraId="0817732C" w14:textId="77777777" w:rsidR="00E44DC8" w:rsidRDefault="005C645F">
      <w:pPr>
        <w:jc w:val="center"/>
        <w:rPr>
          <w:b/>
          <w:szCs w:val="24"/>
        </w:rPr>
      </w:pPr>
      <w:r>
        <w:rPr>
          <w:b/>
          <w:szCs w:val="24"/>
        </w:rPr>
        <w:t xml:space="preserve">PLĖTROS PROGRAMOS PAŽANGOS PRIEMONĖS PAGRINDIMO APRAŠAS </w:t>
      </w:r>
    </w:p>
    <w:p w14:paraId="06AA0880" w14:textId="77777777" w:rsidR="00E44DC8" w:rsidRDefault="00E44DC8">
      <w:pPr>
        <w:jc w:val="center"/>
        <w:rPr>
          <w:b/>
          <w:szCs w:val="24"/>
        </w:rPr>
      </w:pPr>
    </w:p>
    <w:p w14:paraId="4414BBBD" w14:textId="77777777" w:rsidR="00E44DC8" w:rsidRDefault="005C645F">
      <w:pPr>
        <w:jc w:val="center"/>
        <w:rPr>
          <w:b/>
          <w:szCs w:val="24"/>
        </w:rPr>
      </w:pPr>
      <w:r>
        <w:rPr>
          <w:b/>
          <w:szCs w:val="24"/>
        </w:rPr>
        <w:t>I SKYRIUS</w:t>
      </w:r>
    </w:p>
    <w:p w14:paraId="6A732610" w14:textId="77777777" w:rsidR="00E44DC8" w:rsidRDefault="005C645F">
      <w:pPr>
        <w:jc w:val="center"/>
        <w:rPr>
          <w:b/>
          <w:szCs w:val="24"/>
        </w:rPr>
      </w:pPr>
      <w:r>
        <w:rPr>
          <w:b/>
          <w:szCs w:val="24"/>
        </w:rPr>
        <w:t>BENDROSIOS NUOSTATOS</w:t>
      </w:r>
    </w:p>
    <w:p w14:paraId="5E881CEF" w14:textId="77777777" w:rsidR="00E44DC8" w:rsidRDefault="00E44DC8">
      <w:pPr>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E44DC8" w14:paraId="2EF4E13A" w14:textId="77777777">
        <w:tc>
          <w:tcPr>
            <w:tcW w:w="2972" w:type="dxa"/>
            <w:shd w:val="clear" w:color="auto" w:fill="DBE5F1" w:themeFill="accent1" w:themeFillTint="33"/>
          </w:tcPr>
          <w:p w14:paraId="26CAF6F6" w14:textId="77777777" w:rsidR="00E44DC8" w:rsidRDefault="005C645F">
            <w:pPr>
              <w:spacing w:line="276" w:lineRule="auto"/>
              <w:jc w:val="center"/>
              <w:rPr>
                <w:b/>
                <w:sz w:val="22"/>
                <w:szCs w:val="24"/>
              </w:rPr>
            </w:pPr>
            <w:r>
              <w:rPr>
                <w:b/>
                <w:sz w:val="22"/>
                <w:szCs w:val="24"/>
              </w:rPr>
              <w:t>Plėtros programos pažangos priemonės kodas ir pavadinimas</w:t>
            </w:r>
          </w:p>
        </w:tc>
        <w:tc>
          <w:tcPr>
            <w:tcW w:w="6634" w:type="dxa"/>
          </w:tcPr>
          <w:p w14:paraId="5370F1B0" w14:textId="5A6FD8B8" w:rsidR="00E44DC8" w:rsidRPr="001D5207" w:rsidRDefault="00844361" w:rsidP="003B3917">
            <w:pPr>
              <w:jc w:val="both"/>
              <w:rPr>
                <w:color w:val="808080"/>
                <w:sz w:val="22"/>
                <w:szCs w:val="22"/>
              </w:rPr>
            </w:pPr>
            <w:bookmarkStart w:id="0" w:name="_Hlk119412710"/>
            <w:r w:rsidRPr="001D5207">
              <w:rPr>
                <w:sz w:val="22"/>
                <w:szCs w:val="22"/>
              </w:rPr>
              <w:t xml:space="preserve">Nr. </w:t>
            </w:r>
            <w:bookmarkStart w:id="1" w:name="_Hlk178323625"/>
            <w:r w:rsidR="00902D38" w:rsidRPr="001D5207">
              <w:rPr>
                <w:sz w:val="22"/>
                <w:szCs w:val="22"/>
                <w:lang w:eastAsia="lt-LT"/>
              </w:rPr>
              <w:t>09-003-02-02-04</w:t>
            </w:r>
            <w:r w:rsidR="003B3917" w:rsidRPr="001D5207">
              <w:rPr>
                <w:sz w:val="22"/>
                <w:szCs w:val="22"/>
                <w:lang w:eastAsia="lt-LT"/>
              </w:rPr>
              <w:t xml:space="preserve"> </w:t>
            </w:r>
            <w:r w:rsidR="00902D38" w:rsidRPr="001D5207">
              <w:rPr>
                <w:sz w:val="22"/>
                <w:szCs w:val="22"/>
              </w:rPr>
              <w:t>„Plėtoti pagalbos senyvo amžiaus asmenims sistemą“</w:t>
            </w:r>
            <w:bookmarkEnd w:id="0"/>
            <w:r w:rsidR="00902D38" w:rsidRPr="001D5207">
              <w:rPr>
                <w:sz w:val="22"/>
                <w:szCs w:val="22"/>
              </w:rPr>
              <w:t xml:space="preserve"> </w:t>
            </w:r>
            <w:bookmarkEnd w:id="1"/>
          </w:p>
        </w:tc>
      </w:tr>
      <w:tr w:rsidR="00E44DC8" w14:paraId="32802D11" w14:textId="77777777">
        <w:tc>
          <w:tcPr>
            <w:tcW w:w="2972" w:type="dxa"/>
            <w:shd w:val="clear" w:color="auto" w:fill="DBE5F1" w:themeFill="accent1" w:themeFillTint="33"/>
          </w:tcPr>
          <w:p w14:paraId="03714451" w14:textId="77777777" w:rsidR="00E44DC8" w:rsidRDefault="005C645F">
            <w:pPr>
              <w:spacing w:line="276" w:lineRule="auto"/>
              <w:jc w:val="center"/>
              <w:rPr>
                <w:b/>
                <w:sz w:val="22"/>
                <w:szCs w:val="24"/>
              </w:rPr>
            </w:pPr>
            <w:r>
              <w:rPr>
                <w:b/>
                <w:sz w:val="22"/>
                <w:szCs w:val="24"/>
              </w:rPr>
              <w:t>Nacionalinio pažangos plano uždavinys</w:t>
            </w:r>
          </w:p>
        </w:tc>
        <w:tc>
          <w:tcPr>
            <w:tcW w:w="6634" w:type="dxa"/>
          </w:tcPr>
          <w:p w14:paraId="2B568D87" w14:textId="35BD71F4" w:rsidR="00E44DC8" w:rsidRPr="001D5207" w:rsidRDefault="00902D38" w:rsidP="003B3917">
            <w:pPr>
              <w:jc w:val="both"/>
              <w:rPr>
                <w:color w:val="808080"/>
                <w:sz w:val="22"/>
                <w:szCs w:val="22"/>
              </w:rPr>
            </w:pPr>
            <w:r w:rsidRPr="001D5207">
              <w:rPr>
                <w:rFonts w:eastAsiaTheme="minorHAnsi"/>
                <w:sz w:val="22"/>
                <w:szCs w:val="22"/>
              </w:rPr>
              <w:t xml:space="preserve">2.2 uždavinys. </w:t>
            </w:r>
            <w:r w:rsidRPr="001D5207">
              <w:rPr>
                <w:sz w:val="22"/>
                <w:szCs w:val="22"/>
              </w:rPr>
              <w:t>Didinti neįgaliųjų ir jų šeimų, senyvo amžiaus žmonių bei kitų pažeidžiamų ir socialinėje atskirtyje esančių grupių gerovę.</w:t>
            </w:r>
          </w:p>
        </w:tc>
      </w:tr>
      <w:tr w:rsidR="00E44DC8" w14:paraId="343C1847" w14:textId="77777777">
        <w:tc>
          <w:tcPr>
            <w:tcW w:w="2972" w:type="dxa"/>
            <w:shd w:val="clear" w:color="auto" w:fill="DBE5F1" w:themeFill="accent1" w:themeFillTint="33"/>
          </w:tcPr>
          <w:p w14:paraId="7A4DA16A" w14:textId="77777777" w:rsidR="00E44DC8" w:rsidRDefault="005C645F">
            <w:pPr>
              <w:spacing w:line="276" w:lineRule="auto"/>
              <w:jc w:val="center"/>
              <w:rPr>
                <w:b/>
                <w:sz w:val="22"/>
                <w:szCs w:val="24"/>
              </w:rPr>
            </w:pPr>
            <w:r>
              <w:rPr>
                <w:b/>
                <w:sz w:val="22"/>
                <w:szCs w:val="24"/>
              </w:rPr>
              <w:t xml:space="preserve">Plėtros programa </w:t>
            </w:r>
          </w:p>
        </w:tc>
        <w:tc>
          <w:tcPr>
            <w:tcW w:w="6634" w:type="dxa"/>
          </w:tcPr>
          <w:p w14:paraId="0F366136" w14:textId="4965FA47" w:rsidR="00E44DC8" w:rsidRPr="00E95647" w:rsidRDefault="00E95647" w:rsidP="003B3917">
            <w:pPr>
              <w:jc w:val="both"/>
              <w:rPr>
                <w:color w:val="808080"/>
                <w:sz w:val="22"/>
                <w:szCs w:val="22"/>
              </w:rPr>
            </w:pPr>
            <w:r w:rsidRPr="00E95647">
              <w:rPr>
                <w:color w:val="000000"/>
                <w:sz w:val="22"/>
                <w:szCs w:val="22"/>
              </w:rPr>
              <w:t xml:space="preserve">2021–2030 metų plėtros programos valdytojos Lietuvos Respublikos socialinės apsaugos ir darbo ministerijos socialinės </w:t>
            </w:r>
            <w:proofErr w:type="spellStart"/>
            <w:r w:rsidRPr="00E95647">
              <w:rPr>
                <w:color w:val="000000"/>
                <w:sz w:val="22"/>
                <w:szCs w:val="22"/>
              </w:rPr>
              <w:t>sutelkties</w:t>
            </w:r>
            <w:proofErr w:type="spellEnd"/>
            <w:r w:rsidRPr="00E95647">
              <w:rPr>
                <w:color w:val="000000"/>
                <w:sz w:val="22"/>
                <w:szCs w:val="22"/>
              </w:rPr>
              <w:t xml:space="preserve"> plėtros programa</w:t>
            </w:r>
            <w:r w:rsidR="00902D38" w:rsidRPr="00E95647">
              <w:rPr>
                <w:rStyle w:val="Puslapioinaosnuoroda"/>
                <w:sz w:val="22"/>
                <w:szCs w:val="22"/>
              </w:rPr>
              <w:footnoteReference w:id="2"/>
            </w:r>
          </w:p>
        </w:tc>
      </w:tr>
      <w:tr w:rsidR="00E44DC8" w14:paraId="55D7CFDE" w14:textId="77777777">
        <w:tc>
          <w:tcPr>
            <w:tcW w:w="2972" w:type="dxa"/>
            <w:shd w:val="clear" w:color="auto" w:fill="DBE5F1" w:themeFill="accent1" w:themeFillTint="33"/>
          </w:tcPr>
          <w:p w14:paraId="007C3676" w14:textId="77777777" w:rsidR="00E44DC8" w:rsidRDefault="005C645F">
            <w:pPr>
              <w:spacing w:line="276" w:lineRule="auto"/>
              <w:jc w:val="center"/>
              <w:rPr>
                <w:b/>
                <w:sz w:val="22"/>
                <w:szCs w:val="24"/>
              </w:rPr>
            </w:pPr>
            <w:r>
              <w:rPr>
                <w:b/>
                <w:sz w:val="22"/>
                <w:szCs w:val="24"/>
              </w:rPr>
              <w:t>Atsakinga institucija (koordinuojančioji institucija)</w:t>
            </w:r>
          </w:p>
        </w:tc>
        <w:tc>
          <w:tcPr>
            <w:tcW w:w="6634" w:type="dxa"/>
          </w:tcPr>
          <w:p w14:paraId="3841F81A" w14:textId="1D54CA19" w:rsidR="00E44DC8" w:rsidRPr="001D5207" w:rsidRDefault="00F26B82" w:rsidP="003B3917">
            <w:pPr>
              <w:jc w:val="both"/>
              <w:rPr>
                <w:color w:val="808080"/>
                <w:sz w:val="22"/>
                <w:szCs w:val="22"/>
              </w:rPr>
            </w:pPr>
            <w:r w:rsidRPr="001D5207">
              <w:rPr>
                <w:sz w:val="22"/>
                <w:szCs w:val="22"/>
              </w:rPr>
              <w:t>Lietuvos Respublikos s</w:t>
            </w:r>
            <w:r w:rsidR="00902D38" w:rsidRPr="001D5207">
              <w:rPr>
                <w:sz w:val="22"/>
                <w:szCs w:val="22"/>
              </w:rPr>
              <w:t>ocialinės apsaugos ir darbo ministerija</w:t>
            </w:r>
          </w:p>
        </w:tc>
      </w:tr>
    </w:tbl>
    <w:p w14:paraId="534E5575" w14:textId="77777777" w:rsidR="00E44DC8" w:rsidRDefault="00E44DC8">
      <w:pPr>
        <w:ind w:firstLine="567"/>
        <w:rPr>
          <w:b/>
          <w:sz w:val="20"/>
        </w:rPr>
      </w:pPr>
    </w:p>
    <w:p w14:paraId="6483F60B" w14:textId="77777777" w:rsidR="00E44DC8" w:rsidRDefault="00E44DC8">
      <w:pPr>
        <w:rPr>
          <w:sz w:val="6"/>
          <w:szCs w:val="6"/>
        </w:rPr>
      </w:pPr>
    </w:p>
    <w:p w14:paraId="3582EB53" w14:textId="77777777" w:rsidR="00E44DC8" w:rsidRDefault="005C645F">
      <w:pPr>
        <w:jc w:val="center"/>
        <w:rPr>
          <w:b/>
          <w:bCs/>
        </w:rPr>
      </w:pPr>
      <w:r>
        <w:rPr>
          <w:b/>
          <w:bCs/>
        </w:rPr>
        <w:t>II SKYRIUS</w:t>
      </w:r>
    </w:p>
    <w:p w14:paraId="7A8A9522" w14:textId="77777777" w:rsidR="00E44DC8" w:rsidRDefault="005C645F">
      <w:pPr>
        <w:jc w:val="center"/>
        <w:rPr>
          <w:b/>
          <w:bCs/>
        </w:rPr>
      </w:pPr>
      <w:r>
        <w:rPr>
          <w:b/>
          <w:bCs/>
        </w:rPr>
        <w:t>SIEKIAMAS POKYTIS</w:t>
      </w:r>
    </w:p>
    <w:p w14:paraId="31882C38" w14:textId="77777777" w:rsidR="00E44DC8" w:rsidRDefault="00E44DC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44DC8" w14:paraId="5646D2B3" w14:textId="77777777">
        <w:tc>
          <w:tcPr>
            <w:tcW w:w="9628" w:type="dxa"/>
            <w:shd w:val="clear" w:color="auto" w:fill="DBE5F1" w:themeFill="accent1" w:themeFillTint="33"/>
          </w:tcPr>
          <w:p w14:paraId="5015255A" w14:textId="77777777" w:rsidR="00E44DC8" w:rsidRDefault="005C645F">
            <w:pPr>
              <w:keepNext/>
              <w:keepLines/>
              <w:jc w:val="center"/>
              <w:rPr>
                <w:caps/>
                <w:szCs w:val="24"/>
              </w:rPr>
            </w:pPr>
            <w:r>
              <w:rPr>
                <w:b/>
                <w:bCs/>
                <w:caps/>
                <w:szCs w:val="24"/>
              </w:rPr>
              <w:t>ĮGYVENDINUS PLĖTROS PROGRAMOS PAŽANGOS PRIEMONĘ laukiamAS pokyTIS</w:t>
            </w:r>
          </w:p>
        </w:tc>
      </w:tr>
      <w:tr w:rsidR="00E44DC8" w:rsidRPr="00F26B82" w14:paraId="1AB54C1F" w14:textId="77777777">
        <w:tc>
          <w:tcPr>
            <w:tcW w:w="9628" w:type="dxa"/>
          </w:tcPr>
          <w:p w14:paraId="19833242" w14:textId="414911BB" w:rsidR="00F26B82" w:rsidRPr="001D5207" w:rsidRDefault="00F26B82" w:rsidP="00E624F3">
            <w:pPr>
              <w:pStyle w:val="prastasiniatinklio"/>
              <w:shd w:val="clear" w:color="auto" w:fill="FFFFFF"/>
              <w:spacing w:before="0" w:after="0"/>
              <w:jc w:val="both"/>
              <w:rPr>
                <w:i/>
                <w:iCs/>
                <w:color w:val="000000" w:themeColor="text1"/>
                <w:sz w:val="22"/>
                <w:szCs w:val="22"/>
                <w:u w:val="single"/>
                <w:lang w:eastAsia="en-US"/>
              </w:rPr>
            </w:pPr>
            <w:r w:rsidRPr="001D5207">
              <w:rPr>
                <w:i/>
                <w:iCs/>
                <w:color w:val="000000" w:themeColor="text1"/>
                <w:sz w:val="22"/>
                <w:szCs w:val="22"/>
                <w:u w:val="single"/>
                <w:lang w:eastAsia="en-US"/>
              </w:rPr>
              <w:t>Problemos ir priežastys</w:t>
            </w:r>
          </w:p>
          <w:p w14:paraId="1E9A7CF1" w14:textId="61B5061A" w:rsidR="004F30F0" w:rsidRPr="001D5207" w:rsidRDefault="00F26B82" w:rsidP="004F30F0">
            <w:pPr>
              <w:jc w:val="both"/>
              <w:rPr>
                <w:sz w:val="22"/>
                <w:szCs w:val="22"/>
              </w:rPr>
            </w:pPr>
            <w:r w:rsidRPr="001D5207">
              <w:rPr>
                <w:color w:val="000000" w:themeColor="text1"/>
                <w:sz w:val="22"/>
                <w:szCs w:val="22"/>
              </w:rPr>
              <w:t xml:space="preserve">Priemonės įgyvendinimas sprendžia dalį  </w:t>
            </w:r>
            <w:r w:rsidRPr="004F30F0">
              <w:rPr>
                <w:sz w:val="22"/>
                <w:szCs w:val="22"/>
              </w:rPr>
              <w:t>2021</w:t>
            </w:r>
            <w:r w:rsidR="00C227F6" w:rsidRPr="004F30F0">
              <w:rPr>
                <w:sz w:val="22"/>
                <w:szCs w:val="22"/>
              </w:rPr>
              <w:t>–2</w:t>
            </w:r>
            <w:r w:rsidRPr="004F30F0">
              <w:rPr>
                <w:sz w:val="22"/>
                <w:szCs w:val="22"/>
              </w:rPr>
              <w:t xml:space="preserve">030 Socialinės </w:t>
            </w:r>
            <w:proofErr w:type="spellStart"/>
            <w:r w:rsidRPr="004F30F0">
              <w:rPr>
                <w:sz w:val="22"/>
                <w:szCs w:val="22"/>
              </w:rPr>
              <w:t>sutelkties</w:t>
            </w:r>
            <w:proofErr w:type="spellEnd"/>
            <w:r w:rsidRPr="004F30F0">
              <w:rPr>
                <w:sz w:val="22"/>
                <w:szCs w:val="22"/>
              </w:rPr>
              <w:t xml:space="preserve"> plėtros programoje įvardintos</w:t>
            </w:r>
            <w:r w:rsidR="00C227F6" w:rsidRPr="004F30F0">
              <w:rPr>
                <w:sz w:val="22"/>
                <w:szCs w:val="22"/>
              </w:rPr>
              <w:t xml:space="preserve"> – daugiau nei</w:t>
            </w:r>
            <w:r w:rsidR="004F30F0" w:rsidRPr="004F30F0">
              <w:rPr>
                <w:sz w:val="22"/>
                <w:szCs w:val="22"/>
              </w:rPr>
              <w:t xml:space="preserve"> </w:t>
            </w:r>
            <w:r w:rsidR="004F30F0" w:rsidRPr="001D5207">
              <w:rPr>
                <w:sz w:val="22"/>
                <w:szCs w:val="22"/>
              </w:rPr>
              <w:t>trečdalis vyresnio amžiaus (65+)</w:t>
            </w:r>
            <w:r w:rsidR="004F30F0" w:rsidRPr="001D5207">
              <w:rPr>
                <w:sz w:val="22"/>
                <w:szCs w:val="22"/>
                <w:vertAlign w:val="superscript"/>
              </w:rPr>
              <w:t xml:space="preserve">  </w:t>
            </w:r>
            <w:r w:rsidR="004F30F0" w:rsidRPr="001D5207">
              <w:rPr>
                <w:sz w:val="22"/>
                <w:szCs w:val="22"/>
              </w:rPr>
              <w:t>žmonių patiria skurdą ar socialinę atskirtį – problemos (2 problema).</w:t>
            </w:r>
          </w:p>
          <w:p w14:paraId="4CE335B3" w14:textId="08DCD525" w:rsidR="00E624F3" w:rsidRPr="001D5207" w:rsidRDefault="00E624F3" w:rsidP="00E624F3">
            <w:pPr>
              <w:pStyle w:val="prastasiniatinklio"/>
              <w:shd w:val="clear" w:color="auto" w:fill="FFFFFF"/>
              <w:spacing w:before="0" w:after="0"/>
              <w:jc w:val="both"/>
              <w:rPr>
                <w:color w:val="000000" w:themeColor="text1"/>
                <w:sz w:val="22"/>
                <w:szCs w:val="22"/>
                <w:lang w:eastAsia="en-US"/>
              </w:rPr>
            </w:pPr>
            <w:r w:rsidRPr="001D5207">
              <w:rPr>
                <w:color w:val="000000" w:themeColor="text1"/>
                <w:sz w:val="22"/>
                <w:szCs w:val="22"/>
                <w:lang w:eastAsia="en-US"/>
              </w:rPr>
              <w:t>Kas dešimtmetį atliekamo visuotinio gyventojų ir būstų surašymo 2021 m. duomenimis,  palyginti su 2011 m., gyventojų pasiskirstymo pagal amžių pasikeitimai rodo gyventojų senėjimą</w:t>
            </w:r>
            <w:r w:rsidRPr="001D5207">
              <w:rPr>
                <w:rStyle w:val="Puslapioinaosnuoroda"/>
                <w:color w:val="000000" w:themeColor="text1"/>
                <w:sz w:val="22"/>
                <w:szCs w:val="22"/>
                <w:lang w:eastAsia="en-US"/>
              </w:rPr>
              <w:footnoteReference w:id="3"/>
            </w:r>
            <w:r w:rsidRPr="001D5207">
              <w:rPr>
                <w:color w:val="000000" w:themeColor="text1"/>
                <w:sz w:val="22"/>
                <w:szCs w:val="22"/>
                <w:lang w:eastAsia="en-US"/>
              </w:rPr>
              <w:t>. Dėl žemo gimstamumo lygio, ilgesnės gyvenimo trukmės ir didelės išorinės migracijos, Lietuva yra viena sparčiausiai senėjančių Europos šalių</w:t>
            </w:r>
            <w:r w:rsidRPr="001D5207">
              <w:rPr>
                <w:rStyle w:val="Puslapioinaosnuoroda"/>
                <w:color w:val="000000" w:themeColor="text1"/>
                <w:sz w:val="22"/>
                <w:szCs w:val="22"/>
                <w:lang w:eastAsia="en-US"/>
              </w:rPr>
              <w:footnoteReference w:id="4"/>
            </w:r>
            <w:r w:rsidRPr="001D5207">
              <w:rPr>
                <w:color w:val="000000" w:themeColor="text1"/>
                <w:sz w:val="22"/>
                <w:szCs w:val="22"/>
                <w:lang w:eastAsia="en-US"/>
              </w:rPr>
              <w:t>. Nors Lietuva iš esmės atkartoja Vakarų Europos šalių demografinę patirtį, mūsų šalies raidai būdingi ir specifiniai bruožai, veiksniai ir kontekstas. Šie veiksniai suformavo labai deformuotą Lietuvos gyventojų amžiaus struktūrą (labai maža vaikų ir didelė vyresnio amžiaus gyventojų dalis), kuri 3–4 dešimtmečių perspektyvoje lems ne tik bendrą gyventojų skaičiaus mažėjimą, bet ir tolesnius demografinių struktūrų pokyčius. Jungtinių Tautų  prognozės rodo, kad Lietuvos gyventojų skaičius ir toliau nuosekliai mažės ir 2050 m. sieks tik 2,2 milijono, iš jų beveik kas trečias gyventojas bus vyresnis nei 65 m. amžiaus (žr. 1 lentelę). Prognozuojama, kad 65 m. ir vyresnių gyventojų dalis Lietuvoje padidės dvigubai ir 2050 m. sudarys apie 32,7 proc. visų gyventojų. Taip pat Lietuvoje ilgą laiką išlikęs aukštas priešlaikinis darbingo amžiaus gyventojų (ypač vyrų) mirtingumas lėmė, kad, skirtingai nuo Vakarų šalių patirčių, gyventojų vidutinė tikėtina gyvenimo trukmė apie penkis dešimtmečius neturėjo įtakos visuomenės senėjimui. Ateityje, Lietuvai artėjant prie Vakarų šalių pasiekimų mirtingumo mažinimo srityje, vidutinės tikėtinos gyvenimo trukmės ilgėjimas projektuoja visuomenės senėjimo spartėjimą. Tai reiškia, kad per ateinančius tris dešimtmečius gyventojų senėjimo poveikis bus dar labiau jaučiamas visose valstybės gyvenimo srityse</w:t>
            </w:r>
            <w:r w:rsidR="002E3F62">
              <w:rPr>
                <w:color w:val="000000" w:themeColor="text1"/>
                <w:sz w:val="22"/>
                <w:szCs w:val="22"/>
                <w:lang w:eastAsia="en-US"/>
              </w:rPr>
              <w:t xml:space="preserve"> </w:t>
            </w:r>
            <w:r w:rsidRPr="001D5207">
              <w:rPr>
                <w:color w:val="000000" w:themeColor="text1"/>
                <w:sz w:val="22"/>
                <w:szCs w:val="22"/>
                <w:lang w:eastAsia="en-US"/>
              </w:rPr>
              <w:t>– ekonomikoje ir ypač – socialinėje ir sveikatos sferose (dėl vyresnio amžiaus gyventojų skaičiaus spartaus didėjimo augančios socialinių ir sveikatos paslaugų paklausos ir pasiūlos santykis)</w:t>
            </w:r>
            <w:r w:rsidRPr="001D5207">
              <w:rPr>
                <w:rStyle w:val="Puslapioinaosnuoroda"/>
                <w:color w:val="000000" w:themeColor="text1"/>
                <w:sz w:val="22"/>
                <w:szCs w:val="22"/>
                <w:lang w:eastAsia="en-US"/>
              </w:rPr>
              <w:footnoteReference w:id="5"/>
            </w:r>
            <w:r w:rsidRPr="001D5207">
              <w:rPr>
                <w:color w:val="000000" w:themeColor="text1"/>
                <w:sz w:val="22"/>
                <w:szCs w:val="22"/>
                <w:lang w:eastAsia="en-US"/>
              </w:rPr>
              <w:t>.</w:t>
            </w:r>
          </w:p>
          <w:p w14:paraId="3C6ADEC2" w14:textId="77777777" w:rsidR="00E44DC8" w:rsidRPr="001D5207" w:rsidRDefault="00E624F3" w:rsidP="00E624F3">
            <w:pPr>
              <w:tabs>
                <w:tab w:val="left" w:pos="598"/>
              </w:tabs>
              <w:ind w:firstLine="567"/>
              <w:jc w:val="both"/>
              <w:rPr>
                <w:color w:val="000000" w:themeColor="text1"/>
                <w:sz w:val="22"/>
                <w:szCs w:val="22"/>
              </w:rPr>
            </w:pPr>
            <w:r w:rsidRPr="001D5207">
              <w:rPr>
                <w:color w:val="000000" w:themeColor="text1"/>
                <w:sz w:val="22"/>
                <w:szCs w:val="22"/>
              </w:rPr>
              <w:lastRenderedPageBreak/>
              <w:t>Oficialiosios statistikos duomenys rodo, kad nuo 1990 m. iki 2022 m. darbingo amžiaus gyventojų skaičius sumažėjo apie 27 proc.(nuo 2,52 mln. iki 1,83 mln.), o reproduktyvaus amžiaus moterų – net 36 proc. (nuo 924 tūkst. iki 589 tūkst.)</w:t>
            </w:r>
            <w:r w:rsidRPr="001D5207">
              <w:rPr>
                <w:rStyle w:val="Puslapioinaosnuoroda"/>
                <w:color w:val="000000" w:themeColor="text1"/>
                <w:sz w:val="22"/>
                <w:szCs w:val="22"/>
              </w:rPr>
              <w:footnoteReference w:id="6"/>
            </w:r>
            <w:r w:rsidRPr="001D5207">
              <w:rPr>
                <w:color w:val="000000" w:themeColor="text1"/>
                <w:sz w:val="22"/>
                <w:szCs w:val="22"/>
              </w:rPr>
              <w:t>. Remiantis naujausiomis Jungtinių Tautų prognozėmis</w:t>
            </w:r>
            <w:r w:rsidRPr="001D5207">
              <w:rPr>
                <w:rStyle w:val="Puslapioinaosnuoroda"/>
                <w:color w:val="000000" w:themeColor="text1"/>
                <w:sz w:val="22"/>
                <w:szCs w:val="22"/>
              </w:rPr>
              <w:footnoteReference w:id="7"/>
            </w:r>
            <w:r w:rsidRPr="001D5207">
              <w:rPr>
                <w:color w:val="000000" w:themeColor="text1"/>
                <w:sz w:val="22"/>
                <w:szCs w:val="22"/>
              </w:rPr>
              <w:t>, Lietuvos gyventojų skaičiaus mažėjimo tendencijos išliks ateityje: 2030 m. gyventojų skaičius sumažės daugiau nei dviem šimtais tūkstančių – iki 2,57 mln., o nuo 2030 iki 2050 m. – dar beveik keturiais šimtais tūkstančių – iki 2,20 mln.</w:t>
            </w:r>
          </w:p>
          <w:p w14:paraId="6AF094A3" w14:textId="77777777" w:rsidR="00E624F3" w:rsidRPr="001D5207" w:rsidRDefault="00E624F3" w:rsidP="00E624F3">
            <w:pPr>
              <w:pStyle w:val="prastasiniatinklio"/>
              <w:shd w:val="clear" w:color="auto" w:fill="FFFFFF"/>
              <w:spacing w:before="0" w:after="0"/>
              <w:jc w:val="both"/>
              <w:rPr>
                <w:color w:val="000000" w:themeColor="text1"/>
                <w:sz w:val="22"/>
                <w:szCs w:val="22"/>
                <w:lang w:eastAsia="en-US"/>
              </w:rPr>
            </w:pPr>
            <w:r w:rsidRPr="001D5207">
              <w:rPr>
                <w:color w:val="000000" w:themeColor="text1"/>
                <w:sz w:val="22"/>
                <w:szCs w:val="22"/>
                <w:lang w:eastAsia="en-US"/>
              </w:rPr>
              <w:t>Mažėjant vaikų ir darbingo amžiaus gyventojų skaičiui, auga 65 ir vyresnių gyventojų absoliutus skaičius bei šių gyventojų dalis. (žr. 1 lentelę)</w:t>
            </w:r>
            <w:r w:rsidRPr="001D5207">
              <w:rPr>
                <w:rStyle w:val="Puslapioinaosnuoroda"/>
                <w:color w:val="000000" w:themeColor="text1"/>
                <w:sz w:val="22"/>
                <w:szCs w:val="22"/>
                <w:lang w:eastAsia="en-US"/>
              </w:rPr>
              <w:footnoteReference w:id="8"/>
            </w:r>
            <w:r w:rsidRPr="001D5207">
              <w:rPr>
                <w:color w:val="000000" w:themeColor="text1"/>
                <w:sz w:val="22"/>
                <w:szCs w:val="22"/>
                <w:lang w:eastAsia="en-US"/>
              </w:rPr>
              <w:t xml:space="preserve">. </w:t>
            </w:r>
          </w:p>
          <w:p w14:paraId="2A831B17" w14:textId="38123854" w:rsidR="00E624F3" w:rsidRPr="001D5207" w:rsidRDefault="00E624F3" w:rsidP="00E624F3">
            <w:pPr>
              <w:pStyle w:val="prastasiniatinklio"/>
              <w:shd w:val="clear" w:color="auto" w:fill="FFFFFF"/>
              <w:spacing w:before="0" w:after="0"/>
              <w:jc w:val="both"/>
              <w:rPr>
                <w:b/>
                <w:bCs/>
                <w:color w:val="000000" w:themeColor="text1"/>
                <w:sz w:val="22"/>
                <w:szCs w:val="22"/>
                <w:lang w:eastAsia="en-US"/>
              </w:rPr>
            </w:pPr>
            <w:r w:rsidRPr="001D5207">
              <w:rPr>
                <w:b/>
                <w:bCs/>
                <w:color w:val="000000" w:themeColor="text1"/>
                <w:sz w:val="22"/>
                <w:szCs w:val="22"/>
                <w:lang w:eastAsia="en-US"/>
              </w:rPr>
              <w:t>1 lentelė. Lietuvos gyventojų skaičiaus ir amžiau struktūrų pokyčiai, 1990–2050 m.</w:t>
            </w:r>
          </w:p>
          <w:p w14:paraId="2E07D325" w14:textId="77777777" w:rsidR="003B3917" w:rsidRPr="001D5207" w:rsidRDefault="003B3917" w:rsidP="00E624F3">
            <w:pPr>
              <w:pStyle w:val="prastasiniatinklio"/>
              <w:shd w:val="clear" w:color="auto" w:fill="FFFFFF"/>
              <w:spacing w:before="0" w:after="0"/>
              <w:jc w:val="both"/>
              <w:rPr>
                <w:b/>
                <w:bCs/>
                <w:color w:val="000000" w:themeColor="text1"/>
                <w:sz w:val="22"/>
                <w:szCs w:val="22"/>
                <w:lang w:eastAsia="en-US"/>
              </w:rPr>
            </w:pPr>
          </w:p>
          <w:tbl>
            <w:tblPr>
              <w:tblStyle w:val="Lentelstinklelis"/>
              <w:tblW w:w="0" w:type="auto"/>
              <w:tblInd w:w="0" w:type="dxa"/>
              <w:tblLook w:val="04A0" w:firstRow="1" w:lastRow="0" w:firstColumn="1" w:lastColumn="0" w:noHBand="0" w:noVBand="1"/>
            </w:tblPr>
            <w:tblGrid>
              <w:gridCol w:w="4990"/>
              <w:gridCol w:w="1418"/>
              <w:gridCol w:w="1417"/>
              <w:gridCol w:w="1577"/>
            </w:tblGrid>
            <w:tr w:rsidR="00E624F3" w:rsidRPr="00F26B82" w14:paraId="15DEB6B0" w14:textId="77777777" w:rsidTr="005C7038">
              <w:trPr>
                <w:trHeight w:val="297"/>
              </w:trPr>
              <w:tc>
                <w:tcPr>
                  <w:tcW w:w="4990" w:type="dxa"/>
                  <w:shd w:val="clear" w:color="auto" w:fill="auto"/>
                </w:tcPr>
                <w:p w14:paraId="02B30E29" w14:textId="77777777" w:rsidR="00E624F3" w:rsidRPr="00C17919" w:rsidRDefault="00E624F3" w:rsidP="00E624F3">
                  <w:pPr>
                    <w:pStyle w:val="prastasiniatinklio"/>
                    <w:spacing w:before="0" w:after="0"/>
                    <w:jc w:val="both"/>
                    <w:rPr>
                      <w:rFonts w:ascii="Times New Roman" w:eastAsia="Times New Roman" w:hAnsi="Times New Roman" w:cs="Times New Roman"/>
                      <w:b/>
                      <w:bCs/>
                      <w:color w:val="000000" w:themeColor="text1"/>
                      <w:szCs w:val="22"/>
                      <w:lang w:eastAsia="en-US"/>
                    </w:rPr>
                  </w:pPr>
                  <w:r w:rsidRPr="00C17919">
                    <w:rPr>
                      <w:rFonts w:ascii="Times New Roman" w:hAnsi="Times New Roman" w:cs="Times New Roman"/>
                      <w:b/>
                      <w:bCs/>
                      <w:color w:val="000000" w:themeColor="text1"/>
                      <w:szCs w:val="22"/>
                      <w:lang w:eastAsia="en-US"/>
                    </w:rPr>
                    <w:t>Amžiaus grupės</w:t>
                  </w:r>
                </w:p>
              </w:tc>
              <w:tc>
                <w:tcPr>
                  <w:tcW w:w="1418" w:type="dxa"/>
                  <w:shd w:val="clear" w:color="auto" w:fill="auto"/>
                </w:tcPr>
                <w:p w14:paraId="2A32F557" w14:textId="77777777" w:rsidR="00E624F3" w:rsidRPr="00C17919" w:rsidRDefault="00E624F3" w:rsidP="00E624F3">
                  <w:pPr>
                    <w:pStyle w:val="prastasiniatinklio"/>
                    <w:spacing w:before="0" w:after="0"/>
                    <w:jc w:val="both"/>
                    <w:rPr>
                      <w:rFonts w:ascii="Times New Roman" w:eastAsia="Times New Roman" w:hAnsi="Times New Roman" w:cs="Times New Roman"/>
                      <w:b/>
                      <w:bCs/>
                      <w:color w:val="000000" w:themeColor="text1"/>
                      <w:szCs w:val="22"/>
                      <w:lang w:eastAsia="en-US"/>
                    </w:rPr>
                  </w:pPr>
                  <w:r w:rsidRPr="00C17919">
                    <w:rPr>
                      <w:rFonts w:ascii="Times New Roman" w:hAnsi="Times New Roman" w:cs="Times New Roman"/>
                      <w:b/>
                      <w:bCs/>
                      <w:color w:val="000000" w:themeColor="text1"/>
                      <w:szCs w:val="22"/>
                      <w:lang w:eastAsia="en-US"/>
                    </w:rPr>
                    <w:t>1990 m.</w:t>
                  </w:r>
                </w:p>
              </w:tc>
              <w:tc>
                <w:tcPr>
                  <w:tcW w:w="1417" w:type="dxa"/>
                  <w:shd w:val="clear" w:color="auto" w:fill="auto"/>
                </w:tcPr>
                <w:p w14:paraId="7FFAD828" w14:textId="77777777" w:rsidR="00E624F3" w:rsidRPr="00C17919" w:rsidRDefault="00E624F3" w:rsidP="00E624F3">
                  <w:pPr>
                    <w:pStyle w:val="prastasiniatinklio"/>
                    <w:spacing w:before="0" w:after="0"/>
                    <w:jc w:val="both"/>
                    <w:rPr>
                      <w:rFonts w:ascii="Times New Roman" w:eastAsia="Times New Roman" w:hAnsi="Times New Roman" w:cs="Times New Roman"/>
                      <w:b/>
                      <w:bCs/>
                      <w:color w:val="000000" w:themeColor="text1"/>
                      <w:szCs w:val="22"/>
                      <w:lang w:eastAsia="en-US"/>
                    </w:rPr>
                  </w:pPr>
                  <w:r w:rsidRPr="00C17919">
                    <w:rPr>
                      <w:rFonts w:ascii="Times New Roman" w:hAnsi="Times New Roman" w:cs="Times New Roman"/>
                      <w:b/>
                      <w:bCs/>
                      <w:color w:val="000000" w:themeColor="text1"/>
                      <w:szCs w:val="22"/>
                      <w:lang w:eastAsia="en-US"/>
                    </w:rPr>
                    <w:t>2022 m.</w:t>
                  </w:r>
                </w:p>
              </w:tc>
              <w:tc>
                <w:tcPr>
                  <w:tcW w:w="1577" w:type="dxa"/>
                  <w:shd w:val="clear" w:color="auto" w:fill="auto"/>
                </w:tcPr>
                <w:p w14:paraId="5543674C" w14:textId="77777777" w:rsidR="00E624F3" w:rsidRPr="00C17919" w:rsidRDefault="00E624F3" w:rsidP="00E624F3">
                  <w:pPr>
                    <w:pStyle w:val="prastasiniatinklio"/>
                    <w:shd w:val="clear" w:color="auto" w:fill="FFFFFF"/>
                    <w:spacing w:before="0" w:after="0"/>
                    <w:jc w:val="both"/>
                    <w:rPr>
                      <w:rFonts w:ascii="Times New Roman" w:eastAsia="Times New Roman" w:hAnsi="Times New Roman" w:cs="Times New Roman"/>
                      <w:b/>
                      <w:bCs/>
                      <w:color w:val="000000" w:themeColor="text1"/>
                      <w:szCs w:val="22"/>
                      <w:lang w:eastAsia="en-US"/>
                    </w:rPr>
                  </w:pPr>
                  <w:r w:rsidRPr="00C17919">
                    <w:rPr>
                      <w:rFonts w:ascii="Times New Roman" w:hAnsi="Times New Roman" w:cs="Times New Roman"/>
                      <w:b/>
                      <w:bCs/>
                      <w:color w:val="000000" w:themeColor="text1"/>
                      <w:szCs w:val="22"/>
                      <w:lang w:eastAsia="en-US"/>
                    </w:rPr>
                    <w:t>2050 m.</w:t>
                  </w:r>
                </w:p>
              </w:tc>
            </w:tr>
            <w:tr w:rsidR="00E624F3" w:rsidRPr="00F26B82" w14:paraId="0D4203B2" w14:textId="77777777" w:rsidTr="005C7038">
              <w:tc>
                <w:tcPr>
                  <w:tcW w:w="4990" w:type="dxa"/>
                  <w:shd w:val="clear" w:color="auto" w:fill="auto"/>
                </w:tcPr>
                <w:p w14:paraId="1C133CE1" w14:textId="77777777" w:rsidR="00E624F3" w:rsidRPr="00C17919" w:rsidRDefault="00E624F3" w:rsidP="00E624F3">
                  <w:pPr>
                    <w:pStyle w:val="prastasiniatinklio"/>
                    <w:spacing w:before="0" w:after="0"/>
                    <w:jc w:val="both"/>
                    <w:rPr>
                      <w:rFonts w:ascii="Times New Roman" w:eastAsia="Times New Roman" w:hAnsi="Times New Roman" w:cs="Times New Roman"/>
                      <w:color w:val="000000" w:themeColor="text1"/>
                      <w:szCs w:val="22"/>
                      <w:lang w:eastAsia="en-US"/>
                    </w:rPr>
                  </w:pPr>
                  <w:r w:rsidRPr="00C17919">
                    <w:rPr>
                      <w:rFonts w:ascii="Times New Roman" w:hAnsi="Times New Roman" w:cs="Times New Roman"/>
                      <w:color w:val="000000" w:themeColor="text1"/>
                      <w:szCs w:val="22"/>
                      <w:lang w:eastAsia="en-US"/>
                    </w:rPr>
                    <w:t>Darbingo amžiaus (15–64 m.) gyventojai</w:t>
                  </w:r>
                </w:p>
              </w:tc>
              <w:tc>
                <w:tcPr>
                  <w:tcW w:w="1418" w:type="dxa"/>
                  <w:shd w:val="clear" w:color="auto" w:fill="auto"/>
                </w:tcPr>
                <w:p w14:paraId="29134D65" w14:textId="77777777" w:rsidR="00E624F3" w:rsidRPr="00C17919" w:rsidRDefault="00E624F3" w:rsidP="00E624F3">
                  <w:pPr>
                    <w:pStyle w:val="prastasiniatinklio"/>
                    <w:spacing w:before="0" w:after="0"/>
                    <w:jc w:val="both"/>
                    <w:rPr>
                      <w:rFonts w:ascii="Times New Roman" w:eastAsia="Times New Roman" w:hAnsi="Times New Roman" w:cs="Times New Roman"/>
                      <w:color w:val="000000" w:themeColor="text1"/>
                      <w:szCs w:val="22"/>
                      <w:lang w:eastAsia="en-US"/>
                    </w:rPr>
                  </w:pPr>
                  <w:r w:rsidRPr="00C17919">
                    <w:rPr>
                      <w:rFonts w:ascii="Times New Roman" w:hAnsi="Times New Roman" w:cs="Times New Roman"/>
                      <w:color w:val="000000" w:themeColor="text1"/>
                      <w:szCs w:val="22"/>
                      <w:lang w:eastAsia="en-US"/>
                    </w:rPr>
                    <w:t>2,52 mln.</w:t>
                  </w:r>
                </w:p>
              </w:tc>
              <w:tc>
                <w:tcPr>
                  <w:tcW w:w="1417" w:type="dxa"/>
                  <w:shd w:val="clear" w:color="auto" w:fill="auto"/>
                </w:tcPr>
                <w:p w14:paraId="648CE45F" w14:textId="77777777" w:rsidR="00E624F3" w:rsidRPr="00C17919" w:rsidRDefault="00E624F3" w:rsidP="00E624F3">
                  <w:pPr>
                    <w:pStyle w:val="prastasiniatinklio"/>
                    <w:spacing w:before="0" w:after="0"/>
                    <w:jc w:val="both"/>
                    <w:rPr>
                      <w:rFonts w:ascii="Times New Roman" w:eastAsia="Times New Roman" w:hAnsi="Times New Roman" w:cs="Times New Roman"/>
                      <w:color w:val="000000" w:themeColor="text1"/>
                      <w:szCs w:val="22"/>
                      <w:lang w:eastAsia="en-US"/>
                    </w:rPr>
                  </w:pPr>
                  <w:r w:rsidRPr="00C17919">
                    <w:rPr>
                      <w:rFonts w:ascii="Times New Roman" w:hAnsi="Times New Roman" w:cs="Times New Roman"/>
                      <w:color w:val="000000" w:themeColor="text1"/>
                      <w:szCs w:val="22"/>
                      <w:lang w:eastAsia="en-US"/>
                    </w:rPr>
                    <w:t>1,83 mln.</w:t>
                  </w:r>
                </w:p>
              </w:tc>
              <w:tc>
                <w:tcPr>
                  <w:tcW w:w="1577" w:type="dxa"/>
                  <w:shd w:val="clear" w:color="auto" w:fill="auto"/>
                </w:tcPr>
                <w:p w14:paraId="0C21F1B2" w14:textId="77777777" w:rsidR="00E624F3" w:rsidRPr="00C17919" w:rsidRDefault="00E624F3" w:rsidP="00E624F3">
                  <w:pPr>
                    <w:pStyle w:val="prastasiniatinklio"/>
                    <w:shd w:val="clear" w:color="auto" w:fill="FFFFFF"/>
                    <w:spacing w:before="0" w:after="0"/>
                    <w:jc w:val="both"/>
                    <w:rPr>
                      <w:rFonts w:ascii="Times New Roman" w:eastAsia="Times New Roman" w:hAnsi="Times New Roman" w:cs="Times New Roman"/>
                      <w:color w:val="000000" w:themeColor="text1"/>
                      <w:szCs w:val="22"/>
                      <w:lang w:eastAsia="en-US"/>
                    </w:rPr>
                  </w:pPr>
                  <w:r w:rsidRPr="00C17919">
                    <w:rPr>
                      <w:rFonts w:ascii="Times New Roman" w:hAnsi="Times New Roman" w:cs="Times New Roman"/>
                      <w:color w:val="000000" w:themeColor="text1"/>
                      <w:szCs w:val="22"/>
                      <w:lang w:eastAsia="en-US"/>
                    </w:rPr>
                    <w:t>1,25 mln.</w:t>
                  </w:r>
                </w:p>
              </w:tc>
            </w:tr>
            <w:tr w:rsidR="00E624F3" w:rsidRPr="00F26B82" w14:paraId="003F9A2D" w14:textId="77777777" w:rsidTr="005C7038">
              <w:tc>
                <w:tcPr>
                  <w:tcW w:w="4990" w:type="dxa"/>
                  <w:shd w:val="clear" w:color="auto" w:fill="auto"/>
                </w:tcPr>
                <w:p w14:paraId="389488D3" w14:textId="77777777" w:rsidR="00E624F3" w:rsidRPr="00C17919" w:rsidRDefault="00E624F3" w:rsidP="00E624F3">
                  <w:pPr>
                    <w:pStyle w:val="prastasiniatinklio"/>
                    <w:spacing w:before="0" w:after="0"/>
                    <w:jc w:val="both"/>
                    <w:rPr>
                      <w:rFonts w:ascii="Times New Roman" w:eastAsia="Times New Roman" w:hAnsi="Times New Roman" w:cs="Times New Roman"/>
                      <w:color w:val="000000" w:themeColor="text1"/>
                      <w:szCs w:val="22"/>
                      <w:lang w:eastAsia="en-US"/>
                    </w:rPr>
                  </w:pPr>
                  <w:r w:rsidRPr="00C17919">
                    <w:rPr>
                      <w:rFonts w:ascii="Times New Roman" w:hAnsi="Times New Roman" w:cs="Times New Roman"/>
                      <w:color w:val="000000" w:themeColor="text1"/>
                      <w:szCs w:val="22"/>
                      <w:lang w:eastAsia="en-US"/>
                    </w:rPr>
                    <w:t>Reproduktyvaus amžiaus (15–49 m.) moterys</w:t>
                  </w:r>
                </w:p>
              </w:tc>
              <w:tc>
                <w:tcPr>
                  <w:tcW w:w="1418" w:type="dxa"/>
                  <w:shd w:val="clear" w:color="auto" w:fill="auto"/>
                </w:tcPr>
                <w:p w14:paraId="3551D33B" w14:textId="77777777" w:rsidR="00E624F3" w:rsidRPr="00C17919" w:rsidRDefault="00E624F3" w:rsidP="00E624F3">
                  <w:pPr>
                    <w:pStyle w:val="prastasiniatinklio"/>
                    <w:spacing w:before="0" w:after="0"/>
                    <w:jc w:val="both"/>
                    <w:rPr>
                      <w:rFonts w:ascii="Times New Roman" w:eastAsia="Times New Roman" w:hAnsi="Times New Roman" w:cs="Times New Roman"/>
                      <w:color w:val="000000" w:themeColor="text1"/>
                      <w:szCs w:val="22"/>
                      <w:lang w:eastAsia="en-US"/>
                    </w:rPr>
                  </w:pPr>
                  <w:r w:rsidRPr="00C17919">
                    <w:rPr>
                      <w:rFonts w:ascii="Times New Roman" w:hAnsi="Times New Roman" w:cs="Times New Roman"/>
                      <w:color w:val="000000" w:themeColor="text1"/>
                      <w:szCs w:val="22"/>
                      <w:lang w:eastAsia="en-US"/>
                    </w:rPr>
                    <w:t>924 tūkst.</w:t>
                  </w:r>
                </w:p>
              </w:tc>
              <w:tc>
                <w:tcPr>
                  <w:tcW w:w="1417" w:type="dxa"/>
                  <w:shd w:val="clear" w:color="auto" w:fill="auto"/>
                </w:tcPr>
                <w:p w14:paraId="1F214A57" w14:textId="77777777" w:rsidR="00E624F3" w:rsidRPr="00C17919" w:rsidRDefault="00E624F3" w:rsidP="00E624F3">
                  <w:pPr>
                    <w:pStyle w:val="prastasiniatinklio"/>
                    <w:spacing w:before="0" w:after="0"/>
                    <w:jc w:val="both"/>
                    <w:rPr>
                      <w:rFonts w:ascii="Times New Roman" w:eastAsia="Times New Roman" w:hAnsi="Times New Roman" w:cs="Times New Roman"/>
                      <w:color w:val="000000" w:themeColor="text1"/>
                      <w:szCs w:val="22"/>
                      <w:lang w:eastAsia="en-US"/>
                    </w:rPr>
                  </w:pPr>
                  <w:r w:rsidRPr="00C17919">
                    <w:rPr>
                      <w:rFonts w:ascii="Times New Roman" w:hAnsi="Times New Roman" w:cs="Times New Roman"/>
                      <w:color w:val="000000" w:themeColor="text1"/>
                      <w:szCs w:val="22"/>
                      <w:lang w:eastAsia="en-US"/>
                    </w:rPr>
                    <w:t>589 tūkst.</w:t>
                  </w:r>
                </w:p>
              </w:tc>
              <w:tc>
                <w:tcPr>
                  <w:tcW w:w="1577" w:type="dxa"/>
                  <w:shd w:val="clear" w:color="auto" w:fill="auto"/>
                </w:tcPr>
                <w:p w14:paraId="5B2D9F28" w14:textId="77777777" w:rsidR="00E624F3" w:rsidRPr="00C17919" w:rsidRDefault="00E624F3" w:rsidP="00E624F3">
                  <w:pPr>
                    <w:pStyle w:val="prastasiniatinklio"/>
                    <w:shd w:val="clear" w:color="auto" w:fill="FFFFFF"/>
                    <w:spacing w:before="0" w:after="0"/>
                    <w:jc w:val="both"/>
                    <w:rPr>
                      <w:rFonts w:ascii="Times New Roman" w:eastAsia="Times New Roman" w:hAnsi="Times New Roman" w:cs="Times New Roman"/>
                      <w:color w:val="000000" w:themeColor="text1"/>
                      <w:szCs w:val="22"/>
                      <w:lang w:eastAsia="en-US"/>
                    </w:rPr>
                  </w:pPr>
                  <w:r w:rsidRPr="00C17919">
                    <w:rPr>
                      <w:rFonts w:ascii="Times New Roman" w:hAnsi="Times New Roman" w:cs="Times New Roman"/>
                      <w:color w:val="000000" w:themeColor="text1"/>
                      <w:szCs w:val="22"/>
                      <w:lang w:eastAsia="en-US"/>
                    </w:rPr>
                    <w:t>397 tūkst.</w:t>
                  </w:r>
                </w:p>
              </w:tc>
            </w:tr>
            <w:tr w:rsidR="00E624F3" w:rsidRPr="00F26B82" w14:paraId="3655CC76" w14:textId="77777777" w:rsidTr="005C7038">
              <w:tc>
                <w:tcPr>
                  <w:tcW w:w="4990" w:type="dxa"/>
                  <w:shd w:val="clear" w:color="auto" w:fill="auto"/>
                </w:tcPr>
                <w:p w14:paraId="230A5F41" w14:textId="77777777" w:rsidR="00E624F3" w:rsidRPr="00C17919" w:rsidRDefault="00E624F3" w:rsidP="00E624F3">
                  <w:pPr>
                    <w:pStyle w:val="prastasiniatinklio"/>
                    <w:spacing w:before="0" w:after="0"/>
                    <w:jc w:val="both"/>
                    <w:rPr>
                      <w:rFonts w:ascii="Times New Roman" w:eastAsia="Times New Roman" w:hAnsi="Times New Roman" w:cs="Times New Roman"/>
                      <w:b/>
                      <w:bCs/>
                      <w:color w:val="000000" w:themeColor="text1"/>
                      <w:szCs w:val="22"/>
                      <w:lang w:eastAsia="en-US"/>
                    </w:rPr>
                  </w:pPr>
                  <w:r w:rsidRPr="00C17919">
                    <w:rPr>
                      <w:rFonts w:ascii="Times New Roman" w:hAnsi="Times New Roman" w:cs="Times New Roman"/>
                      <w:b/>
                      <w:bCs/>
                      <w:color w:val="000000" w:themeColor="text1"/>
                      <w:szCs w:val="22"/>
                      <w:lang w:eastAsia="en-US"/>
                    </w:rPr>
                    <w:t>Senyvo amžiaus (65 m. ir vyresni)</w:t>
                  </w:r>
                </w:p>
              </w:tc>
              <w:tc>
                <w:tcPr>
                  <w:tcW w:w="1418" w:type="dxa"/>
                  <w:shd w:val="clear" w:color="auto" w:fill="auto"/>
                </w:tcPr>
                <w:p w14:paraId="5FF50F37" w14:textId="77777777" w:rsidR="00E624F3" w:rsidRPr="00C17919" w:rsidRDefault="00E624F3" w:rsidP="00E624F3">
                  <w:pPr>
                    <w:pStyle w:val="prastasiniatinklio"/>
                    <w:spacing w:before="0" w:after="0"/>
                    <w:jc w:val="both"/>
                    <w:rPr>
                      <w:rFonts w:ascii="Times New Roman" w:eastAsia="Times New Roman" w:hAnsi="Times New Roman" w:cs="Times New Roman"/>
                      <w:b/>
                      <w:bCs/>
                      <w:color w:val="000000" w:themeColor="text1"/>
                      <w:szCs w:val="22"/>
                      <w:lang w:eastAsia="en-US"/>
                    </w:rPr>
                  </w:pPr>
                  <w:r w:rsidRPr="00C17919">
                    <w:rPr>
                      <w:rFonts w:ascii="Times New Roman" w:hAnsi="Times New Roman" w:cs="Times New Roman"/>
                      <w:b/>
                      <w:bCs/>
                      <w:color w:val="000000" w:themeColor="text1"/>
                      <w:szCs w:val="22"/>
                      <w:lang w:eastAsia="en-US"/>
                    </w:rPr>
                    <w:t>416 tūkst.</w:t>
                  </w:r>
                </w:p>
              </w:tc>
              <w:tc>
                <w:tcPr>
                  <w:tcW w:w="1417" w:type="dxa"/>
                  <w:shd w:val="clear" w:color="auto" w:fill="auto"/>
                </w:tcPr>
                <w:p w14:paraId="57558799" w14:textId="77777777" w:rsidR="00E624F3" w:rsidRPr="00C17919" w:rsidRDefault="00E624F3" w:rsidP="00E624F3">
                  <w:pPr>
                    <w:pStyle w:val="prastasiniatinklio"/>
                    <w:spacing w:before="0" w:after="0"/>
                    <w:jc w:val="both"/>
                    <w:rPr>
                      <w:rFonts w:ascii="Times New Roman" w:eastAsia="Times New Roman" w:hAnsi="Times New Roman" w:cs="Times New Roman"/>
                      <w:b/>
                      <w:bCs/>
                      <w:color w:val="000000" w:themeColor="text1"/>
                      <w:szCs w:val="22"/>
                      <w:lang w:eastAsia="en-US"/>
                    </w:rPr>
                  </w:pPr>
                  <w:r w:rsidRPr="00C17919">
                    <w:rPr>
                      <w:rFonts w:ascii="Times New Roman" w:hAnsi="Times New Roman" w:cs="Times New Roman"/>
                      <w:b/>
                      <w:bCs/>
                      <w:color w:val="000000" w:themeColor="text1"/>
                      <w:szCs w:val="22"/>
                      <w:lang w:eastAsia="en-US"/>
                    </w:rPr>
                    <w:t>561 tūkst.</w:t>
                  </w:r>
                </w:p>
              </w:tc>
              <w:tc>
                <w:tcPr>
                  <w:tcW w:w="1577" w:type="dxa"/>
                  <w:shd w:val="clear" w:color="auto" w:fill="auto"/>
                </w:tcPr>
                <w:p w14:paraId="073FD187" w14:textId="77777777" w:rsidR="00E624F3" w:rsidRPr="00C17919" w:rsidRDefault="00E624F3" w:rsidP="00E624F3">
                  <w:pPr>
                    <w:pStyle w:val="prastasiniatinklio"/>
                    <w:shd w:val="clear" w:color="auto" w:fill="FFFFFF"/>
                    <w:spacing w:before="0" w:after="0"/>
                    <w:jc w:val="both"/>
                    <w:rPr>
                      <w:rFonts w:ascii="Times New Roman" w:eastAsia="Times New Roman" w:hAnsi="Times New Roman" w:cs="Times New Roman"/>
                      <w:b/>
                      <w:bCs/>
                      <w:color w:val="000000" w:themeColor="text1"/>
                      <w:szCs w:val="22"/>
                      <w:lang w:eastAsia="en-US"/>
                    </w:rPr>
                  </w:pPr>
                  <w:r w:rsidRPr="00C17919">
                    <w:rPr>
                      <w:rFonts w:ascii="Times New Roman" w:hAnsi="Times New Roman" w:cs="Times New Roman"/>
                      <w:b/>
                      <w:bCs/>
                      <w:color w:val="000000" w:themeColor="text1"/>
                      <w:szCs w:val="22"/>
                      <w:lang w:eastAsia="en-US"/>
                    </w:rPr>
                    <w:t>636 tūkst.</w:t>
                  </w:r>
                </w:p>
              </w:tc>
            </w:tr>
            <w:tr w:rsidR="00E624F3" w:rsidRPr="00F26B82" w14:paraId="592952F0" w14:textId="77777777" w:rsidTr="005C7038">
              <w:tc>
                <w:tcPr>
                  <w:tcW w:w="4990" w:type="dxa"/>
                  <w:shd w:val="clear" w:color="auto" w:fill="auto"/>
                </w:tcPr>
                <w:p w14:paraId="149188FC" w14:textId="77777777" w:rsidR="00E624F3" w:rsidRPr="00C17919" w:rsidRDefault="00E624F3" w:rsidP="00E624F3">
                  <w:pPr>
                    <w:pStyle w:val="prastasiniatinklio"/>
                    <w:spacing w:before="0" w:after="0"/>
                    <w:jc w:val="both"/>
                    <w:rPr>
                      <w:rFonts w:ascii="Times New Roman" w:eastAsia="Times New Roman" w:hAnsi="Times New Roman" w:cs="Times New Roman"/>
                      <w:color w:val="000000" w:themeColor="text1"/>
                      <w:szCs w:val="22"/>
                      <w:lang w:eastAsia="en-US"/>
                    </w:rPr>
                  </w:pPr>
                  <w:r w:rsidRPr="00C17919">
                    <w:rPr>
                      <w:rFonts w:ascii="Times New Roman" w:hAnsi="Times New Roman" w:cs="Times New Roman"/>
                      <w:color w:val="000000" w:themeColor="text1"/>
                      <w:szCs w:val="22"/>
                      <w:lang w:eastAsia="en-US"/>
                    </w:rPr>
                    <w:t>BENDRAS GYVENTOJŲ SKAIČIUS</w:t>
                  </w:r>
                </w:p>
              </w:tc>
              <w:tc>
                <w:tcPr>
                  <w:tcW w:w="1418" w:type="dxa"/>
                  <w:shd w:val="clear" w:color="auto" w:fill="auto"/>
                </w:tcPr>
                <w:p w14:paraId="2E40F547" w14:textId="77777777" w:rsidR="00E624F3" w:rsidRPr="00C17919" w:rsidRDefault="00E624F3" w:rsidP="00E624F3">
                  <w:pPr>
                    <w:pStyle w:val="prastasiniatinklio"/>
                    <w:spacing w:before="0" w:after="0"/>
                    <w:jc w:val="both"/>
                    <w:rPr>
                      <w:rFonts w:ascii="Times New Roman" w:eastAsia="Times New Roman" w:hAnsi="Times New Roman" w:cs="Times New Roman"/>
                      <w:color w:val="000000" w:themeColor="text1"/>
                      <w:szCs w:val="22"/>
                      <w:lang w:eastAsia="en-US"/>
                    </w:rPr>
                  </w:pPr>
                  <w:r w:rsidRPr="00C17919">
                    <w:rPr>
                      <w:rFonts w:ascii="Times New Roman" w:hAnsi="Times New Roman" w:cs="Times New Roman"/>
                      <w:color w:val="000000" w:themeColor="text1"/>
                      <w:szCs w:val="22"/>
                      <w:lang w:eastAsia="en-US"/>
                    </w:rPr>
                    <w:t>3,78 mln.</w:t>
                  </w:r>
                </w:p>
              </w:tc>
              <w:tc>
                <w:tcPr>
                  <w:tcW w:w="1417" w:type="dxa"/>
                  <w:shd w:val="clear" w:color="auto" w:fill="auto"/>
                </w:tcPr>
                <w:p w14:paraId="0D0E7472" w14:textId="77777777" w:rsidR="00E624F3" w:rsidRPr="00C17919" w:rsidRDefault="00E624F3" w:rsidP="00E624F3">
                  <w:pPr>
                    <w:pStyle w:val="prastasiniatinklio"/>
                    <w:spacing w:before="0" w:after="0"/>
                    <w:jc w:val="both"/>
                    <w:rPr>
                      <w:rFonts w:ascii="Times New Roman" w:eastAsia="Times New Roman" w:hAnsi="Times New Roman" w:cs="Times New Roman"/>
                      <w:color w:val="000000" w:themeColor="text1"/>
                      <w:szCs w:val="22"/>
                      <w:lang w:eastAsia="en-US"/>
                    </w:rPr>
                  </w:pPr>
                  <w:r w:rsidRPr="00C17919">
                    <w:rPr>
                      <w:rFonts w:ascii="Times New Roman" w:hAnsi="Times New Roman" w:cs="Times New Roman"/>
                      <w:color w:val="000000" w:themeColor="text1"/>
                      <w:szCs w:val="22"/>
                      <w:lang w:eastAsia="en-US"/>
                    </w:rPr>
                    <w:t>2,81 mln.</w:t>
                  </w:r>
                </w:p>
              </w:tc>
              <w:tc>
                <w:tcPr>
                  <w:tcW w:w="1577" w:type="dxa"/>
                  <w:shd w:val="clear" w:color="auto" w:fill="auto"/>
                </w:tcPr>
                <w:p w14:paraId="7E95F01C" w14:textId="77777777" w:rsidR="00E624F3" w:rsidRPr="00C17919" w:rsidRDefault="00E624F3" w:rsidP="00E624F3">
                  <w:pPr>
                    <w:pStyle w:val="prastasiniatinklio"/>
                    <w:shd w:val="clear" w:color="auto" w:fill="FFFFFF"/>
                    <w:spacing w:before="0" w:after="0"/>
                    <w:jc w:val="both"/>
                    <w:rPr>
                      <w:rFonts w:ascii="Times New Roman" w:eastAsia="Times New Roman" w:hAnsi="Times New Roman" w:cs="Times New Roman"/>
                      <w:color w:val="000000" w:themeColor="text1"/>
                      <w:szCs w:val="22"/>
                      <w:lang w:eastAsia="en-US"/>
                    </w:rPr>
                  </w:pPr>
                  <w:r w:rsidRPr="00C17919">
                    <w:rPr>
                      <w:rFonts w:ascii="Times New Roman" w:hAnsi="Times New Roman" w:cs="Times New Roman"/>
                      <w:color w:val="000000" w:themeColor="text1"/>
                      <w:szCs w:val="22"/>
                      <w:lang w:eastAsia="en-US"/>
                    </w:rPr>
                    <w:t>2,20 mln.</w:t>
                  </w:r>
                </w:p>
              </w:tc>
            </w:tr>
          </w:tbl>
          <w:p w14:paraId="215FA944" w14:textId="77777777" w:rsidR="00E624F3" w:rsidRPr="001D5207" w:rsidRDefault="00E624F3" w:rsidP="00E624F3">
            <w:pPr>
              <w:pStyle w:val="prastasiniatinklio"/>
              <w:shd w:val="clear" w:color="auto" w:fill="FFFFFF"/>
              <w:spacing w:before="0" w:after="0"/>
              <w:jc w:val="both"/>
              <w:rPr>
                <w:color w:val="000000" w:themeColor="text1"/>
                <w:sz w:val="22"/>
                <w:szCs w:val="22"/>
                <w:lang w:eastAsia="en-US"/>
              </w:rPr>
            </w:pPr>
          </w:p>
          <w:p w14:paraId="6DED54A4" w14:textId="77777777" w:rsidR="00E624F3" w:rsidRPr="001D5207" w:rsidRDefault="00E624F3" w:rsidP="00E624F3">
            <w:pPr>
              <w:pStyle w:val="prastasiniatinklio"/>
              <w:shd w:val="clear" w:color="auto" w:fill="FFFFFF"/>
              <w:spacing w:before="0" w:after="0"/>
              <w:jc w:val="both"/>
              <w:rPr>
                <w:color w:val="000000" w:themeColor="text1"/>
                <w:sz w:val="22"/>
                <w:szCs w:val="22"/>
                <w:lang w:eastAsia="en-US"/>
              </w:rPr>
            </w:pPr>
            <w:r w:rsidRPr="001D5207">
              <w:rPr>
                <w:color w:val="000000" w:themeColor="text1"/>
                <w:sz w:val="22"/>
                <w:szCs w:val="22"/>
                <w:lang w:eastAsia="en-US"/>
              </w:rPr>
              <w:t>Pažymėtina, kad  nuo 1990 iki 2022 m. senyvo amžiaus gyventojų procentas išaugo nuo 11 proc.  iki 20 proc., nuo 2022 iki 2050 m. jis išaugs iki 29 proc. (vaikų (0–14 m.) dalis beveik nepakis – apie 14 proc.). Labai sparčiais tempais didėja ir išlaikomo senyvo amžiaus žmonių koeficientas (65 m. ir vyresnių bei darbingo amžiaus (15–64 m.) gyventojų skaičiaus santykis), kuris per pastaruosius 20 metų (nuo 2001 iki 2021 m.) išaugo beveik trečdaliu (nuo 22 proc. iki 32 proc.). Tai rodo fundamentalią transformaciją gyventojų amžiaus struktūroje, kuri dar labiau išryškės ateityje, – prognozuojama, kad 2050 m. šis santykis jau viršys 50 proc., t. y. dviem darbingo amžiaus gyventojams teks vienas 65 m. ir vyresnio amžiaus senjoras</w:t>
            </w:r>
            <w:r w:rsidRPr="001D5207">
              <w:rPr>
                <w:rStyle w:val="Puslapioinaosnuoroda"/>
                <w:color w:val="000000" w:themeColor="text1"/>
                <w:sz w:val="22"/>
                <w:szCs w:val="22"/>
                <w:lang w:eastAsia="en-US"/>
              </w:rPr>
              <w:footnoteReference w:id="9"/>
            </w:r>
            <w:r w:rsidRPr="001D5207">
              <w:rPr>
                <w:color w:val="000000" w:themeColor="text1"/>
                <w:sz w:val="22"/>
                <w:szCs w:val="22"/>
                <w:lang w:eastAsia="en-US"/>
              </w:rPr>
              <w:t>.</w:t>
            </w:r>
          </w:p>
          <w:p w14:paraId="44D50799" w14:textId="77777777" w:rsidR="00E624F3" w:rsidRPr="001D5207" w:rsidRDefault="00E624F3" w:rsidP="00E624F3">
            <w:pPr>
              <w:pStyle w:val="prastasiniatinklio"/>
              <w:shd w:val="clear" w:color="auto" w:fill="FFFFFF"/>
              <w:spacing w:before="0" w:after="0"/>
              <w:jc w:val="both"/>
              <w:rPr>
                <w:color w:val="000000" w:themeColor="text1"/>
                <w:sz w:val="22"/>
                <w:szCs w:val="22"/>
                <w:lang w:eastAsia="en-US"/>
              </w:rPr>
            </w:pPr>
            <w:r w:rsidRPr="001D5207">
              <w:rPr>
                <w:color w:val="000000" w:themeColor="text1"/>
                <w:sz w:val="22"/>
                <w:szCs w:val="22"/>
                <w:lang w:eastAsia="en-US"/>
              </w:rPr>
              <w:t xml:space="preserve"> Be to, gyventojų mirtingumo ir sveikatos duomenys rodo, kad gyventojų senėjimo procesai vyksta nepalankiame kontekste – vyresnio amžiaus žmonių grupėse fiksuojami tarptautiniu mastu aukšti negalios, invalidumo ir lėtinių ligų paplitimo rodikliai, o vidutinė tikėtina sveiko gyvenimo trukmė išlieka viena mažiausių ES</w:t>
            </w:r>
            <w:r w:rsidRPr="001D5207">
              <w:rPr>
                <w:rStyle w:val="Puslapioinaosnuoroda"/>
                <w:color w:val="000000" w:themeColor="text1"/>
                <w:sz w:val="22"/>
                <w:szCs w:val="22"/>
                <w:lang w:eastAsia="en-US"/>
              </w:rPr>
              <w:footnoteReference w:id="10"/>
            </w:r>
            <w:r w:rsidRPr="001D5207">
              <w:rPr>
                <w:color w:val="000000" w:themeColor="text1"/>
                <w:sz w:val="22"/>
                <w:szCs w:val="22"/>
                <w:lang w:eastAsia="en-US"/>
              </w:rPr>
              <w:t>,</w:t>
            </w:r>
            <w:r w:rsidRPr="001D5207">
              <w:rPr>
                <w:rStyle w:val="Puslapioinaosnuoroda"/>
                <w:color w:val="000000" w:themeColor="text1"/>
                <w:sz w:val="22"/>
                <w:szCs w:val="22"/>
                <w:lang w:eastAsia="en-US"/>
              </w:rPr>
              <w:footnoteReference w:id="11"/>
            </w:r>
            <w:r w:rsidRPr="001D5207">
              <w:rPr>
                <w:color w:val="000000" w:themeColor="text1"/>
                <w:sz w:val="22"/>
                <w:szCs w:val="22"/>
                <w:lang w:eastAsia="en-US"/>
              </w:rPr>
              <w:t>.</w:t>
            </w:r>
          </w:p>
          <w:p w14:paraId="3B914157" w14:textId="77777777" w:rsidR="00E624F3" w:rsidRPr="001D5207" w:rsidRDefault="00E624F3" w:rsidP="00E624F3">
            <w:pPr>
              <w:pStyle w:val="prastasiniatinklio"/>
              <w:shd w:val="clear" w:color="auto" w:fill="FFFFFF"/>
              <w:spacing w:before="0" w:after="0"/>
              <w:jc w:val="both"/>
              <w:rPr>
                <w:color w:val="000000" w:themeColor="text1"/>
                <w:sz w:val="22"/>
                <w:szCs w:val="22"/>
                <w:lang w:eastAsia="en-US"/>
              </w:rPr>
            </w:pPr>
            <w:r w:rsidRPr="001D5207">
              <w:rPr>
                <w:color w:val="000000" w:themeColor="text1"/>
                <w:sz w:val="22"/>
                <w:szCs w:val="22"/>
                <w:lang w:eastAsia="en-US"/>
              </w:rPr>
              <w:t xml:space="preserve">Lietuvoje senstanti visuomenė taip pat pasižymi sveikatos būklės struktūros kaita, daugėjančiomis lėtinėmis ligomis, atsirandančiomis specifinėmis senų žmonių būklėmis ir vadinamais </w:t>
            </w:r>
            <w:proofErr w:type="spellStart"/>
            <w:r w:rsidRPr="001D5207">
              <w:rPr>
                <w:color w:val="000000" w:themeColor="text1"/>
                <w:sz w:val="22"/>
                <w:szCs w:val="22"/>
                <w:lang w:eastAsia="en-US"/>
              </w:rPr>
              <w:t>poliligotumo</w:t>
            </w:r>
            <w:proofErr w:type="spellEnd"/>
            <w:r w:rsidRPr="001D5207">
              <w:rPr>
                <w:color w:val="000000" w:themeColor="text1"/>
                <w:sz w:val="22"/>
                <w:szCs w:val="22"/>
                <w:lang w:eastAsia="en-US"/>
              </w:rPr>
              <w:t xml:space="preserve"> reiškiniais</w:t>
            </w:r>
            <w:r w:rsidRPr="001D5207">
              <w:rPr>
                <w:rStyle w:val="Puslapioinaosnuoroda"/>
                <w:color w:val="000000" w:themeColor="text1"/>
                <w:sz w:val="22"/>
                <w:szCs w:val="22"/>
                <w:lang w:eastAsia="en-US"/>
              </w:rPr>
              <w:footnoteReference w:id="12"/>
            </w:r>
            <w:r w:rsidRPr="001D5207">
              <w:rPr>
                <w:color w:val="000000" w:themeColor="text1"/>
                <w:sz w:val="22"/>
                <w:szCs w:val="22"/>
                <w:lang w:eastAsia="en-US"/>
              </w:rPr>
              <w:t xml:space="preserve">. Dėl šių aplinkybių atsiranda poreikis globoti bei prižiūrėti senyvo amžiaus ar/ir negalią turinčius asmenis, kurių savarankiškumo laipsnis nėra pakankamas pasirūpinti savimi. Taip pat yra pastebėta, kad su amžiumi didėja </w:t>
            </w:r>
            <w:proofErr w:type="spellStart"/>
            <w:r w:rsidRPr="001D5207">
              <w:rPr>
                <w:color w:val="000000" w:themeColor="text1"/>
                <w:sz w:val="22"/>
                <w:szCs w:val="22"/>
                <w:lang w:eastAsia="en-US"/>
              </w:rPr>
              <w:t>polisergamumo</w:t>
            </w:r>
            <w:proofErr w:type="spellEnd"/>
            <w:r w:rsidRPr="001D5207">
              <w:rPr>
                <w:color w:val="000000" w:themeColor="text1"/>
                <w:sz w:val="22"/>
                <w:szCs w:val="22"/>
                <w:lang w:eastAsia="en-US"/>
              </w:rPr>
              <w:t xml:space="preserve"> atvejų ir skirtingų tyrimų duomenimis apie 80-98 proc. vyresnio amžiaus žmonių turi daugiau nei vieną lėtinę ligą</w:t>
            </w:r>
            <w:r w:rsidRPr="001D5207">
              <w:rPr>
                <w:rStyle w:val="Puslapioinaosnuoroda"/>
                <w:color w:val="000000" w:themeColor="text1"/>
                <w:sz w:val="22"/>
                <w:szCs w:val="22"/>
                <w:lang w:eastAsia="en-US"/>
              </w:rPr>
              <w:footnoteReference w:id="13"/>
            </w:r>
            <w:r w:rsidRPr="001D5207">
              <w:rPr>
                <w:color w:val="000000" w:themeColor="text1"/>
                <w:sz w:val="22"/>
                <w:szCs w:val="22"/>
                <w:lang w:eastAsia="en-US"/>
              </w:rPr>
              <w:t>. Valstybės duomenų agentūros 2019 m. Gyventojų sveikatos statistinis tyrimo duomenys  patvirtina šiuos  teiginius, t. y. kuo vyresnis amžius, tuo didesnis ligotumas. Gyventojų, sergančių lėtine liga ar turinčių ilgalaikių sveikatos sutrikimų, dalis tarp  55-64 m. amžiaus yra 62, 1 proc., tai 75 m. ir vyresnių – 87,8 proc.</w:t>
            </w:r>
            <w:r w:rsidRPr="001D5207">
              <w:rPr>
                <w:rStyle w:val="Puslapioinaosnuoroda"/>
                <w:color w:val="000000" w:themeColor="text1"/>
                <w:sz w:val="22"/>
                <w:szCs w:val="22"/>
                <w:lang w:eastAsia="en-US"/>
              </w:rPr>
              <w:footnoteReference w:id="14"/>
            </w:r>
            <w:r w:rsidRPr="001D5207">
              <w:rPr>
                <w:color w:val="000000" w:themeColor="text1"/>
                <w:sz w:val="22"/>
                <w:szCs w:val="22"/>
                <w:lang w:eastAsia="en-US"/>
              </w:rPr>
              <w:t xml:space="preserve">. Taigi, senėjanti visuomenė neabejotinai kelia tiek sveikatos priežiūros, tiek slaugos  ir socialinės globos  paslaugų paklausą ir neabejotinai teikiamų paslaugų kokybės gerinimą. Šiame kontekste  svarbu įvertinti esamą socialinės globos ir slaugos paslaugų potencialą bei poreikį senyvo amžiaus asmenims, atsižvelgiant į demografinius pokyčius,  prognozuojant šių  paslaugų poreikį 2030 ir 2035 metams. </w:t>
            </w:r>
          </w:p>
          <w:p w14:paraId="4E846864" w14:textId="77777777" w:rsidR="00E624F3" w:rsidRPr="001D5207" w:rsidRDefault="00E624F3" w:rsidP="00E624F3">
            <w:pPr>
              <w:pStyle w:val="Pagrtekstas"/>
              <w:ind w:left="30" w:hanging="1"/>
              <w:rPr>
                <w:rFonts w:ascii="Times New Roman" w:hAnsi="Times New Roman"/>
                <w:color w:val="000000" w:themeColor="text1"/>
                <w:sz w:val="22"/>
                <w:szCs w:val="22"/>
                <w:lang w:val="lt-LT"/>
              </w:rPr>
            </w:pPr>
            <w:r w:rsidRPr="001D5207">
              <w:rPr>
                <w:rFonts w:ascii="Times New Roman" w:hAnsi="Times New Roman"/>
                <w:color w:val="000000" w:themeColor="text1"/>
                <w:sz w:val="22"/>
                <w:szCs w:val="22"/>
                <w:lang w:val="lt-LT"/>
              </w:rPr>
              <w:t xml:space="preserve">Valstybės duomenų agentūros duomenimis, 2022 m. pabaigoje šalyje veikė 36 globos įstaigos suaugusiems asmenims su negalia ir 148 globos įstaigos senyvo amžiaus žmonėms, jose gyveno atitinkamai 5,6 ir </w:t>
            </w:r>
            <w:r w:rsidRPr="001D5207">
              <w:rPr>
                <w:rFonts w:ascii="Times New Roman" w:hAnsi="Times New Roman"/>
                <w:color w:val="000000" w:themeColor="text1"/>
                <w:sz w:val="22"/>
                <w:szCs w:val="22"/>
                <w:lang w:val="lt-LT"/>
              </w:rPr>
              <w:lastRenderedPageBreak/>
              <w:t>7,2 tūkst. asmenų (2021 m. pabaigoje – 5,8 ir 6,8 tūkst. žmonių). Pastaraisiais metais daugėja globos įstaigų (ypač nedidelių, 15–40 vietų) senyvo amžiaus žmonėms. Per 2022 m. jų skaičius išaugo 3,5 proc.</w:t>
            </w:r>
            <w:r w:rsidRPr="001D5207">
              <w:rPr>
                <w:rStyle w:val="Puslapioinaosnuoroda"/>
                <w:rFonts w:ascii="Times New Roman" w:hAnsi="Times New Roman"/>
                <w:color w:val="000000" w:themeColor="text1"/>
                <w:sz w:val="22"/>
                <w:szCs w:val="22"/>
                <w:lang w:val="lt-LT"/>
              </w:rPr>
              <w:footnoteReference w:id="15"/>
            </w:r>
            <w:r w:rsidRPr="001D5207">
              <w:rPr>
                <w:rFonts w:ascii="Times New Roman" w:hAnsi="Times New Roman"/>
                <w:color w:val="000000" w:themeColor="text1"/>
                <w:sz w:val="22"/>
                <w:szCs w:val="22"/>
                <w:lang w:val="lt-LT"/>
              </w:rPr>
              <w:t>.</w:t>
            </w:r>
          </w:p>
          <w:p w14:paraId="48A5B099" w14:textId="77777777" w:rsidR="00E624F3" w:rsidRPr="001D5207" w:rsidRDefault="00E624F3" w:rsidP="00E624F3">
            <w:pPr>
              <w:rPr>
                <w:sz w:val="22"/>
                <w:szCs w:val="22"/>
              </w:rPr>
            </w:pPr>
            <w:r w:rsidRPr="001D5207">
              <w:rPr>
                <w:color w:val="000000" w:themeColor="text1"/>
                <w:sz w:val="22"/>
                <w:szCs w:val="22"/>
              </w:rPr>
              <w:t xml:space="preserve">Pažymėtina, kad auga ne tik senyvo amžiaus asmenų skaičius visuomenėje bei socialinės globos įstaigose, bet kasmet auga ir eilės patekti  į socialinės globos namus.  </w:t>
            </w:r>
            <w:r w:rsidRPr="001D5207">
              <w:rPr>
                <w:sz w:val="22"/>
                <w:szCs w:val="22"/>
              </w:rPr>
              <w:t>Pagal savivaldybių pateiktus duomenis iki 2024 m. vasario 1 d., stebima, jog sparčiai didėja poreikis socialinėms paslaugoms ir kai kuriose savivaldybėse susidaro socialinių paslaugų laukiančiųjų eilės. Jos rodo, kad socialinių</w:t>
            </w:r>
            <w:r w:rsidRPr="001D5207">
              <w:rPr>
                <w:sz w:val="20"/>
              </w:rPr>
              <w:t xml:space="preserve"> </w:t>
            </w:r>
            <w:r w:rsidRPr="001D5207">
              <w:rPr>
                <w:sz w:val="22"/>
                <w:szCs w:val="22"/>
              </w:rPr>
              <w:t xml:space="preserve">paslaugų lygis ir socialinėms paslaugoms skiriamos lėšos nuo savivaldybių biudžetų nėra pakankamos. </w:t>
            </w:r>
          </w:p>
          <w:p w14:paraId="1774C97B" w14:textId="3E77380E" w:rsidR="00E624F3" w:rsidRPr="001D5207" w:rsidRDefault="002D3498" w:rsidP="003B3917">
            <w:pPr>
              <w:jc w:val="both"/>
              <w:rPr>
                <w:sz w:val="22"/>
                <w:szCs w:val="22"/>
              </w:rPr>
            </w:pPr>
            <w:r>
              <w:rPr>
                <w:sz w:val="22"/>
                <w:szCs w:val="22"/>
              </w:rPr>
              <w:t xml:space="preserve">2024 m. </w:t>
            </w:r>
            <w:r w:rsidR="00E624F3" w:rsidRPr="001D5207">
              <w:rPr>
                <w:sz w:val="22"/>
                <w:szCs w:val="22"/>
              </w:rPr>
              <w:t xml:space="preserve"> vasario 1 d. duomenimis, skirtingų</w:t>
            </w:r>
            <w:r w:rsidR="00E624F3" w:rsidRPr="001D5207">
              <w:rPr>
                <w:b/>
                <w:bCs/>
                <w:sz w:val="22"/>
                <w:szCs w:val="22"/>
              </w:rPr>
              <w:t xml:space="preserve"> </w:t>
            </w:r>
            <w:r w:rsidR="00E624F3" w:rsidRPr="001D5207">
              <w:rPr>
                <w:sz w:val="22"/>
                <w:szCs w:val="22"/>
              </w:rPr>
              <w:t>(ilgalaikės globos, socialinių paslaugų į namus  ar dienos centre)</w:t>
            </w:r>
            <w:r w:rsidR="00E624F3" w:rsidRPr="001D5207">
              <w:t xml:space="preserve"> </w:t>
            </w:r>
            <w:r w:rsidR="00E624F3" w:rsidRPr="001D5207">
              <w:rPr>
                <w:sz w:val="22"/>
                <w:szCs w:val="22"/>
              </w:rPr>
              <w:t xml:space="preserve">socialinių paslaugų laukia 2 659 žmonių, iš kurių 2 207 senyvo amžiaus, 382 žmonės su negalia, 70 vaikų su negalia. Ilgiausios socialinių paslaugų laukiančiųjų eilės yra Vilniaus mieste – 304, iš kurių 176 žmonės su negalia; Šiaulių mieste – 235, iš jų 128 žmonės su negalia; Klaipėdos mieste – 228, iš kurių 50 žmonių su negalia. Eilių visiškai nėra tik dviejose – Trakų rajono ir Pagėgių savivaldybėse. </w:t>
            </w:r>
          </w:p>
          <w:p w14:paraId="1C765650" w14:textId="77777777" w:rsidR="00E624F3" w:rsidRPr="001D5207" w:rsidRDefault="00E624F3" w:rsidP="003B3917">
            <w:pPr>
              <w:jc w:val="both"/>
              <w:rPr>
                <w:color w:val="000000" w:themeColor="text1"/>
                <w:sz w:val="22"/>
                <w:szCs w:val="22"/>
              </w:rPr>
            </w:pPr>
            <w:r w:rsidRPr="001D5207">
              <w:rPr>
                <w:sz w:val="22"/>
                <w:szCs w:val="22"/>
              </w:rPr>
              <w:t xml:space="preserve">2024 m. daugiausiai žmonių šalyje laukia </w:t>
            </w:r>
            <w:r w:rsidRPr="001D5207">
              <w:rPr>
                <w:b/>
                <w:bCs/>
                <w:sz w:val="22"/>
                <w:szCs w:val="22"/>
              </w:rPr>
              <w:t>ilgalaikės socialinės globos</w:t>
            </w:r>
            <w:r w:rsidRPr="001D5207">
              <w:rPr>
                <w:sz w:val="22"/>
                <w:szCs w:val="22"/>
              </w:rPr>
              <w:t xml:space="preserve"> – 1 159, iš kurių </w:t>
            </w:r>
            <w:r w:rsidRPr="001D5207">
              <w:rPr>
                <w:b/>
                <w:bCs/>
                <w:sz w:val="22"/>
                <w:szCs w:val="22"/>
              </w:rPr>
              <w:t>958 senyvo amžiaus</w:t>
            </w:r>
            <w:r w:rsidRPr="001D5207">
              <w:rPr>
                <w:sz w:val="22"/>
                <w:szCs w:val="22"/>
              </w:rPr>
              <w:t xml:space="preserve">, 201 suaugęs asmuo su negalia </w:t>
            </w:r>
            <w:r w:rsidRPr="001D5207">
              <w:rPr>
                <w:color w:val="000000" w:themeColor="text1"/>
                <w:sz w:val="22"/>
                <w:szCs w:val="22"/>
              </w:rPr>
              <w:t>(žr. 2 lentelę).</w:t>
            </w:r>
          </w:p>
          <w:p w14:paraId="5E1E24E8" w14:textId="77777777" w:rsidR="00D35B76" w:rsidRPr="001D5207" w:rsidRDefault="00D35B76" w:rsidP="003B3917">
            <w:pPr>
              <w:jc w:val="both"/>
              <w:rPr>
                <w:color w:val="000000" w:themeColor="text1"/>
                <w:sz w:val="22"/>
                <w:szCs w:val="22"/>
              </w:rPr>
            </w:pPr>
          </w:p>
          <w:p w14:paraId="7A813544" w14:textId="4994AAB9" w:rsidR="00D35B76" w:rsidRPr="001D5207" w:rsidRDefault="00D35B76" w:rsidP="003B3917">
            <w:pPr>
              <w:jc w:val="both"/>
              <w:rPr>
                <w:color w:val="000000" w:themeColor="text1"/>
                <w:sz w:val="22"/>
                <w:szCs w:val="22"/>
              </w:rPr>
            </w:pPr>
            <w:r w:rsidRPr="001D5207">
              <w:rPr>
                <w:b/>
                <w:bCs/>
                <w:color w:val="000000" w:themeColor="text1"/>
                <w:sz w:val="22"/>
                <w:szCs w:val="22"/>
              </w:rPr>
              <w:t>2 lentelė. Asmenų, laukiančių  eilėje patekti į socialinės globos namus (ilgalaikei socialinei globai), skaičius 2022-2024 m. (sutrumpinimų paaiškinimai: S – senyvo  amžiaus asmenys, N – darbingo amžiaus asmenys su negalia</w:t>
            </w:r>
            <w:r w:rsidRPr="001D5207">
              <w:rPr>
                <w:color w:val="000000" w:themeColor="text1"/>
                <w:sz w:val="22"/>
                <w:szCs w:val="22"/>
              </w:rPr>
              <w:t>)</w:t>
            </w:r>
          </w:p>
          <w:p w14:paraId="7F2FB40A" w14:textId="77777777" w:rsidR="00893BBC" w:rsidRPr="001D5207" w:rsidRDefault="00893BBC" w:rsidP="003B3917">
            <w:pPr>
              <w:jc w:val="both"/>
              <w:rPr>
                <w:color w:val="000000" w:themeColor="text1"/>
                <w:sz w:val="22"/>
                <w:szCs w:val="22"/>
              </w:rPr>
            </w:pPr>
          </w:p>
          <w:tbl>
            <w:tblPr>
              <w:tblpPr w:leftFromText="180" w:rightFromText="180" w:vertAnchor="text" w:tblpXSpec="center" w:tblpY="1"/>
              <w:tblOverlap w:val="neve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425"/>
              <w:gridCol w:w="566"/>
              <w:gridCol w:w="426"/>
              <w:gridCol w:w="425"/>
              <w:gridCol w:w="567"/>
              <w:gridCol w:w="567"/>
              <w:gridCol w:w="425"/>
              <w:gridCol w:w="566"/>
              <w:gridCol w:w="568"/>
              <w:gridCol w:w="425"/>
              <w:gridCol w:w="566"/>
              <w:gridCol w:w="516"/>
              <w:gridCol w:w="436"/>
              <w:gridCol w:w="571"/>
              <w:gridCol w:w="516"/>
              <w:gridCol w:w="516"/>
              <w:gridCol w:w="571"/>
            </w:tblGrid>
            <w:tr w:rsidR="00842BBF" w:rsidRPr="00F26B82" w14:paraId="38B5E19C" w14:textId="44C7B87A" w:rsidTr="00067A3F">
              <w:trPr>
                <w:trHeight w:val="315"/>
                <w:jc w:val="center"/>
              </w:trPr>
              <w:tc>
                <w:tcPr>
                  <w:tcW w:w="9243" w:type="dxa"/>
                  <w:gridSpan w:val="18"/>
                  <w:tcBorders>
                    <w:top w:val="single" w:sz="4" w:space="0" w:color="auto"/>
                    <w:left w:val="single" w:sz="4" w:space="0" w:color="auto"/>
                    <w:bottom w:val="single" w:sz="4" w:space="0" w:color="auto"/>
                    <w:right w:val="single" w:sz="4" w:space="0" w:color="auto"/>
                  </w:tcBorders>
                  <w:shd w:val="clear" w:color="auto" w:fill="EEECE1" w:themeFill="background2"/>
                  <w:noWrap/>
                  <w:hideMark/>
                </w:tcPr>
                <w:p w14:paraId="3CFD0938" w14:textId="5F5A1B46" w:rsidR="00842BBF" w:rsidRPr="001D5207" w:rsidRDefault="00842BBF" w:rsidP="00D35B76">
                  <w:pPr>
                    <w:spacing w:after="120"/>
                    <w:jc w:val="center"/>
                    <w:rPr>
                      <w:b/>
                      <w:bCs/>
                      <w:color w:val="000000"/>
                      <w:sz w:val="20"/>
                      <w:lang w:eastAsia="lt-LT"/>
                    </w:rPr>
                  </w:pPr>
                  <w:r w:rsidRPr="001D5207">
                    <w:rPr>
                      <w:b/>
                      <w:bCs/>
                      <w:color w:val="000000"/>
                      <w:sz w:val="20"/>
                      <w:lang w:eastAsia="lt-LT"/>
                    </w:rPr>
                    <w:t>Asmenų skaičius, kurie laukia apsigyventi socialinės globos namuose</w:t>
                  </w:r>
                </w:p>
              </w:tc>
            </w:tr>
            <w:tr w:rsidR="00D35B76" w:rsidRPr="00F26B82" w14:paraId="19ED4E11" w14:textId="52578E92" w:rsidTr="00067A3F">
              <w:trPr>
                <w:trHeight w:val="262"/>
                <w:jc w:val="center"/>
              </w:trPr>
              <w:tc>
                <w:tcPr>
                  <w:tcW w:w="3000" w:type="dxa"/>
                  <w:gridSpan w:val="6"/>
                  <w:tcBorders>
                    <w:top w:val="single" w:sz="4" w:space="0" w:color="auto"/>
                    <w:bottom w:val="single" w:sz="4" w:space="0" w:color="auto"/>
                    <w:right w:val="single" w:sz="4" w:space="0" w:color="auto"/>
                  </w:tcBorders>
                  <w:shd w:val="clear" w:color="auto" w:fill="EEECE1" w:themeFill="background2"/>
                  <w:noWrap/>
                </w:tcPr>
                <w:p w14:paraId="349D00E1" w14:textId="77777777" w:rsidR="00D35B76" w:rsidRPr="001D5207" w:rsidRDefault="00D35B76" w:rsidP="00D35B76">
                  <w:pPr>
                    <w:rPr>
                      <w:b/>
                      <w:bCs/>
                      <w:color w:val="000000"/>
                      <w:sz w:val="20"/>
                      <w:lang w:eastAsia="lt-LT"/>
                    </w:rPr>
                  </w:pPr>
                  <w:r w:rsidRPr="001D5207">
                    <w:rPr>
                      <w:b/>
                      <w:bCs/>
                      <w:sz w:val="20"/>
                      <w:lang w:eastAsia="lt-LT"/>
                    </w:rPr>
                    <w:t>2022 m. vasario mėn. duomenys</w:t>
                  </w:r>
                </w:p>
              </w:tc>
              <w:tc>
                <w:tcPr>
                  <w:tcW w:w="3117" w:type="dxa"/>
                  <w:gridSpan w:val="6"/>
                  <w:tcBorders>
                    <w:top w:val="single" w:sz="4" w:space="0" w:color="auto"/>
                    <w:left w:val="single" w:sz="4" w:space="0" w:color="auto"/>
                    <w:bottom w:val="single" w:sz="4" w:space="0" w:color="auto"/>
                    <w:right w:val="single" w:sz="4" w:space="0" w:color="auto"/>
                  </w:tcBorders>
                  <w:shd w:val="clear" w:color="auto" w:fill="EEECE1" w:themeFill="background2"/>
                  <w:noWrap/>
                </w:tcPr>
                <w:p w14:paraId="06377E1A" w14:textId="77777777" w:rsidR="00D35B76" w:rsidRPr="001D5207" w:rsidRDefault="00D35B76" w:rsidP="00D35B76">
                  <w:pPr>
                    <w:rPr>
                      <w:b/>
                      <w:bCs/>
                      <w:color w:val="000000"/>
                      <w:sz w:val="20"/>
                      <w:lang w:eastAsia="lt-LT"/>
                    </w:rPr>
                  </w:pPr>
                  <w:r w:rsidRPr="001D5207">
                    <w:rPr>
                      <w:b/>
                      <w:bCs/>
                      <w:sz w:val="20"/>
                      <w:lang w:eastAsia="lt-LT"/>
                    </w:rPr>
                    <w:t>2023 m. vasario mėn. duomenys</w:t>
                  </w:r>
                </w:p>
              </w:tc>
              <w:tc>
                <w:tcPr>
                  <w:tcW w:w="3126" w:type="dxa"/>
                  <w:gridSpan w:val="6"/>
                  <w:tcBorders>
                    <w:top w:val="single" w:sz="4" w:space="0" w:color="auto"/>
                    <w:left w:val="single" w:sz="4" w:space="0" w:color="auto"/>
                    <w:bottom w:val="single" w:sz="4" w:space="0" w:color="auto"/>
                    <w:right w:val="single" w:sz="4" w:space="0" w:color="auto"/>
                  </w:tcBorders>
                  <w:shd w:val="clear" w:color="auto" w:fill="EEECE1" w:themeFill="background2"/>
                </w:tcPr>
                <w:p w14:paraId="04056018" w14:textId="52DE9BBE" w:rsidR="00D35B76" w:rsidRPr="001D5207" w:rsidRDefault="00842BBF" w:rsidP="00D35B76">
                  <w:pPr>
                    <w:rPr>
                      <w:b/>
                      <w:bCs/>
                      <w:sz w:val="20"/>
                      <w:lang w:eastAsia="lt-LT"/>
                    </w:rPr>
                  </w:pPr>
                  <w:r w:rsidRPr="001D5207">
                    <w:rPr>
                      <w:b/>
                      <w:bCs/>
                      <w:color w:val="000000"/>
                      <w:sz w:val="20"/>
                      <w:lang w:eastAsia="lt-LT"/>
                    </w:rPr>
                    <w:t>2024 m. vasario mėn. duomenys</w:t>
                  </w:r>
                </w:p>
              </w:tc>
            </w:tr>
            <w:tr w:rsidR="00D35B76" w:rsidRPr="00F26B82" w14:paraId="7E5C3768" w14:textId="5D441F28" w:rsidTr="00067A3F">
              <w:trPr>
                <w:trHeight w:val="288"/>
                <w:jc w:val="center"/>
              </w:trPr>
              <w:tc>
                <w:tcPr>
                  <w:tcW w:w="1582" w:type="dxa"/>
                  <w:gridSpan w:val="3"/>
                  <w:tcBorders>
                    <w:top w:val="single" w:sz="4" w:space="0" w:color="auto"/>
                    <w:bottom w:val="single" w:sz="4" w:space="0" w:color="auto"/>
                    <w:right w:val="single" w:sz="4" w:space="0" w:color="auto"/>
                  </w:tcBorders>
                  <w:shd w:val="clear" w:color="auto" w:fill="EEECE1" w:themeFill="background2"/>
                  <w:noWrap/>
                  <w:hideMark/>
                </w:tcPr>
                <w:p w14:paraId="3FD89281" w14:textId="77777777" w:rsidR="00D35B76" w:rsidRPr="001D5207" w:rsidRDefault="00D35B76" w:rsidP="00893BBC">
                  <w:pPr>
                    <w:jc w:val="center"/>
                    <w:rPr>
                      <w:sz w:val="20"/>
                      <w:lang w:eastAsia="lt-LT"/>
                    </w:rPr>
                  </w:pPr>
                  <w:r w:rsidRPr="001D5207">
                    <w:rPr>
                      <w:sz w:val="20"/>
                      <w:lang w:eastAsia="lt-LT"/>
                    </w:rPr>
                    <w:t>savivaldybės eilėje (ne valstybės)</w:t>
                  </w:r>
                </w:p>
              </w:tc>
              <w:tc>
                <w:tcPr>
                  <w:tcW w:w="1418" w:type="dxa"/>
                  <w:gridSpan w:val="3"/>
                  <w:tcBorders>
                    <w:top w:val="single" w:sz="4" w:space="0" w:color="auto"/>
                    <w:left w:val="single" w:sz="4" w:space="0" w:color="auto"/>
                    <w:bottom w:val="single" w:sz="4" w:space="0" w:color="auto"/>
                    <w:right w:val="single" w:sz="4" w:space="0" w:color="auto"/>
                  </w:tcBorders>
                  <w:shd w:val="clear" w:color="auto" w:fill="EEECE1" w:themeFill="background2"/>
                  <w:noWrap/>
                  <w:hideMark/>
                </w:tcPr>
                <w:p w14:paraId="72793EC5" w14:textId="2B0A1ACC" w:rsidR="00D35B76" w:rsidRPr="001D5207" w:rsidRDefault="00D35B76" w:rsidP="00893BBC">
                  <w:pPr>
                    <w:jc w:val="center"/>
                    <w:rPr>
                      <w:sz w:val="20"/>
                      <w:lang w:eastAsia="lt-LT"/>
                    </w:rPr>
                  </w:pPr>
                  <w:r w:rsidRPr="001D5207">
                    <w:rPr>
                      <w:sz w:val="20"/>
                      <w:lang w:eastAsia="lt-LT"/>
                    </w:rPr>
                    <w:t>valstybės globos namuose</w:t>
                  </w:r>
                </w:p>
              </w:tc>
              <w:tc>
                <w:tcPr>
                  <w:tcW w:w="1558" w:type="dxa"/>
                  <w:gridSpan w:val="3"/>
                  <w:tcBorders>
                    <w:top w:val="single" w:sz="4" w:space="0" w:color="auto"/>
                    <w:left w:val="single" w:sz="4" w:space="0" w:color="auto"/>
                    <w:bottom w:val="single" w:sz="4" w:space="0" w:color="auto"/>
                    <w:right w:val="single" w:sz="4" w:space="0" w:color="auto"/>
                  </w:tcBorders>
                  <w:shd w:val="clear" w:color="auto" w:fill="EEECE1" w:themeFill="background2"/>
                  <w:noWrap/>
                  <w:hideMark/>
                </w:tcPr>
                <w:p w14:paraId="3069F897" w14:textId="77777777" w:rsidR="00D35B76" w:rsidRPr="001D5207" w:rsidRDefault="00D35B76" w:rsidP="00893BBC">
                  <w:pPr>
                    <w:ind w:left="-113" w:firstLine="113"/>
                    <w:jc w:val="center"/>
                    <w:rPr>
                      <w:sz w:val="20"/>
                      <w:lang w:eastAsia="lt-LT"/>
                    </w:rPr>
                  </w:pPr>
                  <w:r w:rsidRPr="001D5207">
                    <w:rPr>
                      <w:sz w:val="20"/>
                      <w:lang w:eastAsia="lt-LT"/>
                    </w:rPr>
                    <w:t>savivaldybės eilėje (ne valstybės)</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EECE1" w:themeFill="background2"/>
                  <w:noWrap/>
                  <w:hideMark/>
                </w:tcPr>
                <w:p w14:paraId="6C72776B" w14:textId="3DB2D389" w:rsidR="00D35B76" w:rsidRPr="001D5207" w:rsidRDefault="00D35B76" w:rsidP="00893BBC">
                  <w:pPr>
                    <w:jc w:val="center"/>
                    <w:rPr>
                      <w:sz w:val="20"/>
                      <w:lang w:eastAsia="lt-LT"/>
                    </w:rPr>
                  </w:pPr>
                  <w:r w:rsidRPr="001D5207">
                    <w:rPr>
                      <w:sz w:val="20"/>
                      <w:lang w:eastAsia="lt-LT"/>
                    </w:rPr>
                    <w:t>valstybės globos namuose</w:t>
                  </w:r>
                </w:p>
              </w:tc>
              <w:tc>
                <w:tcPr>
                  <w:tcW w:w="1523"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55F6A1C1" w14:textId="760EFCC5" w:rsidR="00D35B76" w:rsidRPr="001D5207" w:rsidRDefault="00893BBC" w:rsidP="00893BBC">
                  <w:pPr>
                    <w:jc w:val="center"/>
                    <w:rPr>
                      <w:sz w:val="20"/>
                      <w:lang w:eastAsia="lt-LT"/>
                    </w:rPr>
                  </w:pPr>
                  <w:r w:rsidRPr="001D5207">
                    <w:rPr>
                      <w:sz w:val="20"/>
                      <w:lang w:eastAsia="lt-LT"/>
                    </w:rPr>
                    <w:t>savivaldybės eilėje (ne valstybės)</w:t>
                  </w:r>
                </w:p>
              </w:tc>
              <w:tc>
                <w:tcPr>
                  <w:tcW w:w="1603"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196C2257" w14:textId="04FA39A3" w:rsidR="00D35B76" w:rsidRPr="001D5207" w:rsidRDefault="00893BBC" w:rsidP="00893BBC">
                  <w:pPr>
                    <w:jc w:val="center"/>
                    <w:rPr>
                      <w:sz w:val="20"/>
                      <w:lang w:eastAsia="lt-LT"/>
                    </w:rPr>
                  </w:pPr>
                  <w:r w:rsidRPr="001D5207">
                    <w:rPr>
                      <w:sz w:val="20"/>
                      <w:lang w:eastAsia="lt-LT"/>
                    </w:rPr>
                    <w:t xml:space="preserve"> valstybės globos namuose</w:t>
                  </w:r>
                </w:p>
              </w:tc>
            </w:tr>
            <w:tr w:rsidR="00067A3F" w:rsidRPr="00F26B82" w14:paraId="75151722" w14:textId="646E3128" w:rsidTr="00067A3F">
              <w:trPr>
                <w:trHeight w:val="288"/>
                <w:jc w:val="center"/>
              </w:trPr>
              <w:tc>
                <w:tcPr>
                  <w:tcW w:w="591" w:type="dxa"/>
                  <w:tcBorders>
                    <w:top w:val="single" w:sz="4" w:space="0" w:color="auto"/>
                    <w:bottom w:val="single" w:sz="4" w:space="0" w:color="auto"/>
                    <w:right w:val="single" w:sz="4" w:space="0" w:color="auto"/>
                  </w:tcBorders>
                  <w:shd w:val="clear" w:color="auto" w:fill="BFBFBF" w:themeFill="background1" w:themeFillShade="BF"/>
                  <w:noWrap/>
                  <w:hideMark/>
                </w:tcPr>
                <w:p w14:paraId="32C69495" w14:textId="77777777" w:rsidR="00893BBC" w:rsidRPr="001D5207" w:rsidRDefault="00893BBC" w:rsidP="00893BBC">
                  <w:pPr>
                    <w:rPr>
                      <w:sz w:val="20"/>
                      <w:lang w:eastAsia="lt-LT"/>
                    </w:rPr>
                  </w:pPr>
                  <w:r w:rsidRPr="001D5207">
                    <w:rPr>
                      <w:sz w:val="20"/>
                      <w:lang w:eastAsia="lt-LT"/>
                    </w:rPr>
                    <w:t>S</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073EDF17" w14:textId="77777777" w:rsidR="00893BBC" w:rsidRPr="001D5207" w:rsidRDefault="00893BBC" w:rsidP="00893BBC">
                  <w:pPr>
                    <w:rPr>
                      <w:sz w:val="20"/>
                      <w:lang w:eastAsia="lt-LT"/>
                    </w:rPr>
                  </w:pPr>
                  <w:r w:rsidRPr="001D5207">
                    <w:rPr>
                      <w:sz w:val="20"/>
                      <w:lang w:eastAsia="lt-LT"/>
                    </w:rPr>
                    <w:t>N</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201295C" w14:textId="77777777" w:rsidR="00893BBC" w:rsidRPr="001D5207" w:rsidRDefault="00893BBC" w:rsidP="00893BBC">
                  <w:pPr>
                    <w:rPr>
                      <w:b/>
                      <w:bCs/>
                      <w:sz w:val="20"/>
                      <w:lang w:eastAsia="lt-LT"/>
                    </w:rPr>
                  </w:pPr>
                  <w:r w:rsidRPr="001D5207">
                    <w:rPr>
                      <w:b/>
                      <w:bCs/>
                      <w:sz w:val="20"/>
                      <w:lang w:eastAsia="lt-LT"/>
                    </w:rPr>
                    <w:t>iš viso</w:t>
                  </w:r>
                </w:p>
              </w:tc>
              <w:tc>
                <w:tcPr>
                  <w:tcW w:w="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519C6425" w14:textId="77777777" w:rsidR="00893BBC" w:rsidRPr="001D5207" w:rsidRDefault="00893BBC" w:rsidP="00893BBC">
                  <w:pPr>
                    <w:rPr>
                      <w:sz w:val="20"/>
                      <w:lang w:eastAsia="lt-LT"/>
                    </w:rPr>
                  </w:pPr>
                  <w:r w:rsidRPr="001D5207">
                    <w:rPr>
                      <w:sz w:val="20"/>
                      <w:lang w:eastAsia="lt-LT"/>
                    </w:rPr>
                    <w:t>S</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77BAC258" w14:textId="77777777" w:rsidR="00893BBC" w:rsidRPr="001D5207" w:rsidRDefault="00893BBC" w:rsidP="00893BBC">
                  <w:pPr>
                    <w:rPr>
                      <w:sz w:val="20"/>
                      <w:lang w:eastAsia="lt-LT"/>
                    </w:rPr>
                  </w:pPr>
                  <w:r w:rsidRPr="001D5207">
                    <w:rPr>
                      <w:sz w:val="20"/>
                      <w:lang w:eastAsia="lt-LT"/>
                    </w:rPr>
                    <w:t>N</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52BEA12E" w14:textId="77777777" w:rsidR="00893BBC" w:rsidRPr="001D5207" w:rsidRDefault="00893BBC" w:rsidP="00893BBC">
                  <w:pPr>
                    <w:rPr>
                      <w:b/>
                      <w:bCs/>
                      <w:sz w:val="20"/>
                      <w:lang w:eastAsia="lt-LT"/>
                    </w:rPr>
                  </w:pPr>
                  <w:r w:rsidRPr="001D5207">
                    <w:rPr>
                      <w:b/>
                      <w:bCs/>
                      <w:sz w:val="20"/>
                      <w:lang w:eastAsia="lt-LT"/>
                    </w:rPr>
                    <w:t>iš viso</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763A3B3F" w14:textId="77777777" w:rsidR="00893BBC" w:rsidRPr="001D5207" w:rsidRDefault="00893BBC" w:rsidP="00893BBC">
                  <w:pPr>
                    <w:rPr>
                      <w:sz w:val="20"/>
                      <w:lang w:eastAsia="lt-LT"/>
                    </w:rPr>
                  </w:pPr>
                  <w:r w:rsidRPr="001D5207">
                    <w:rPr>
                      <w:sz w:val="20"/>
                      <w:lang w:eastAsia="lt-LT"/>
                    </w:rPr>
                    <w:t>S</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32FFE26A" w14:textId="77777777" w:rsidR="00893BBC" w:rsidRPr="001D5207" w:rsidRDefault="00893BBC" w:rsidP="00893BBC">
                  <w:pPr>
                    <w:rPr>
                      <w:sz w:val="20"/>
                      <w:lang w:eastAsia="lt-LT"/>
                    </w:rPr>
                  </w:pPr>
                  <w:r w:rsidRPr="001D5207">
                    <w:rPr>
                      <w:sz w:val="20"/>
                      <w:lang w:eastAsia="lt-LT"/>
                    </w:rPr>
                    <w:t>N</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D9DC02C" w14:textId="77777777" w:rsidR="00893BBC" w:rsidRPr="001D5207" w:rsidRDefault="00893BBC" w:rsidP="00893BBC">
                  <w:pPr>
                    <w:rPr>
                      <w:b/>
                      <w:bCs/>
                      <w:sz w:val="20"/>
                      <w:lang w:eastAsia="lt-LT"/>
                    </w:rPr>
                  </w:pPr>
                  <w:r w:rsidRPr="001D5207">
                    <w:rPr>
                      <w:b/>
                      <w:bCs/>
                      <w:sz w:val="20"/>
                      <w:lang w:eastAsia="lt-LT"/>
                    </w:rPr>
                    <w:t>iš viso</w:t>
                  </w:r>
                </w:p>
              </w:tc>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47E20C49" w14:textId="77777777" w:rsidR="00893BBC" w:rsidRPr="001D5207" w:rsidRDefault="00893BBC" w:rsidP="00893BBC">
                  <w:pPr>
                    <w:rPr>
                      <w:sz w:val="20"/>
                      <w:lang w:eastAsia="lt-LT"/>
                    </w:rPr>
                  </w:pPr>
                  <w:r w:rsidRPr="001D5207">
                    <w:rPr>
                      <w:sz w:val="20"/>
                      <w:lang w:eastAsia="lt-LT"/>
                    </w:rPr>
                    <w:t>S</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45FE1E1E" w14:textId="77777777" w:rsidR="00893BBC" w:rsidRPr="001D5207" w:rsidRDefault="00893BBC" w:rsidP="00893BBC">
                  <w:pPr>
                    <w:rPr>
                      <w:sz w:val="20"/>
                      <w:lang w:eastAsia="lt-LT"/>
                    </w:rPr>
                  </w:pPr>
                  <w:r w:rsidRPr="001D5207">
                    <w:rPr>
                      <w:sz w:val="20"/>
                      <w:lang w:eastAsia="lt-LT"/>
                    </w:rPr>
                    <w:t>N</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0D63752" w14:textId="77777777" w:rsidR="00893BBC" w:rsidRPr="001D5207" w:rsidRDefault="00893BBC" w:rsidP="00893BBC">
                  <w:pPr>
                    <w:rPr>
                      <w:b/>
                      <w:bCs/>
                      <w:sz w:val="20"/>
                      <w:lang w:eastAsia="lt-LT"/>
                    </w:rPr>
                  </w:pPr>
                  <w:r w:rsidRPr="001D5207">
                    <w:rPr>
                      <w:b/>
                      <w:bCs/>
                      <w:sz w:val="20"/>
                      <w:lang w:eastAsia="lt-LT"/>
                    </w:rPr>
                    <w:t>iš viso</w:t>
                  </w:r>
                </w:p>
              </w:tc>
              <w:tc>
                <w:tcPr>
                  <w:tcW w:w="5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6C3410" w14:textId="12B2C84D" w:rsidR="00893BBC" w:rsidRPr="001D5207" w:rsidRDefault="00893BBC" w:rsidP="00893BBC">
                  <w:pPr>
                    <w:rPr>
                      <w:sz w:val="20"/>
                      <w:lang w:eastAsia="lt-LT"/>
                    </w:rPr>
                  </w:pPr>
                  <w:r w:rsidRPr="00F26B82">
                    <w:rPr>
                      <w:sz w:val="20"/>
                    </w:rPr>
                    <w:t>S</w:t>
                  </w:r>
                </w:p>
              </w:tc>
              <w:tc>
                <w:tcPr>
                  <w:tcW w:w="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160648" w14:textId="6FBAE958" w:rsidR="00893BBC" w:rsidRPr="001D5207" w:rsidRDefault="00893BBC" w:rsidP="00893BBC">
                  <w:pPr>
                    <w:rPr>
                      <w:sz w:val="20"/>
                      <w:lang w:eastAsia="lt-LT"/>
                    </w:rPr>
                  </w:pPr>
                  <w:r w:rsidRPr="00F26B82">
                    <w:rPr>
                      <w:sz w:val="20"/>
                    </w:rPr>
                    <w:t>N</w:t>
                  </w:r>
                </w:p>
              </w:tc>
              <w:tc>
                <w:tcPr>
                  <w:tcW w:w="5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FBC209" w14:textId="7096B7B9" w:rsidR="00893BBC" w:rsidRPr="001D5207" w:rsidRDefault="00893BBC" w:rsidP="00893BBC">
                  <w:pPr>
                    <w:rPr>
                      <w:b/>
                      <w:bCs/>
                      <w:sz w:val="20"/>
                      <w:lang w:eastAsia="lt-LT"/>
                    </w:rPr>
                  </w:pPr>
                  <w:r w:rsidRPr="00F26B82">
                    <w:rPr>
                      <w:b/>
                      <w:bCs/>
                      <w:sz w:val="20"/>
                    </w:rPr>
                    <w:t>iš viso</w:t>
                  </w:r>
                </w:p>
              </w:tc>
              <w:tc>
                <w:tcPr>
                  <w:tcW w:w="5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4FB0DC" w14:textId="61131DA1" w:rsidR="00893BBC" w:rsidRPr="001D5207" w:rsidRDefault="00893BBC" w:rsidP="00893BBC">
                  <w:pPr>
                    <w:rPr>
                      <w:sz w:val="20"/>
                      <w:lang w:eastAsia="lt-LT"/>
                    </w:rPr>
                  </w:pPr>
                  <w:r w:rsidRPr="00F26B82">
                    <w:rPr>
                      <w:sz w:val="20"/>
                    </w:rPr>
                    <w:t>S</w:t>
                  </w:r>
                </w:p>
              </w:tc>
              <w:tc>
                <w:tcPr>
                  <w:tcW w:w="5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409661" w14:textId="35649935" w:rsidR="00893BBC" w:rsidRPr="001D5207" w:rsidRDefault="00893BBC" w:rsidP="00893BBC">
                  <w:pPr>
                    <w:rPr>
                      <w:sz w:val="20"/>
                      <w:lang w:eastAsia="lt-LT"/>
                    </w:rPr>
                  </w:pPr>
                  <w:r w:rsidRPr="00F26B82">
                    <w:rPr>
                      <w:sz w:val="20"/>
                    </w:rPr>
                    <w:t>N</w:t>
                  </w:r>
                </w:p>
              </w:tc>
              <w:tc>
                <w:tcPr>
                  <w:tcW w:w="5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60A54B" w14:textId="6F56596C" w:rsidR="00893BBC" w:rsidRPr="001D5207" w:rsidRDefault="00893BBC" w:rsidP="00893BBC">
                  <w:pPr>
                    <w:rPr>
                      <w:b/>
                      <w:bCs/>
                      <w:sz w:val="20"/>
                      <w:lang w:eastAsia="lt-LT"/>
                    </w:rPr>
                  </w:pPr>
                  <w:r w:rsidRPr="00F26B82">
                    <w:rPr>
                      <w:b/>
                      <w:bCs/>
                      <w:sz w:val="20"/>
                    </w:rPr>
                    <w:t>iš viso</w:t>
                  </w:r>
                </w:p>
              </w:tc>
            </w:tr>
            <w:tr w:rsidR="002D53D5" w:rsidRPr="00F26B82" w14:paraId="16C256D5" w14:textId="00B21F51" w:rsidTr="002D53D5">
              <w:trPr>
                <w:trHeight w:val="288"/>
                <w:jc w:val="center"/>
              </w:trPr>
              <w:tc>
                <w:tcPr>
                  <w:tcW w:w="591" w:type="dxa"/>
                  <w:tcBorders>
                    <w:top w:val="single" w:sz="4" w:space="0" w:color="auto"/>
                    <w:bottom w:val="single" w:sz="4" w:space="0" w:color="auto"/>
                    <w:right w:val="single" w:sz="4" w:space="0" w:color="auto"/>
                  </w:tcBorders>
                  <w:shd w:val="clear" w:color="auto" w:fill="auto"/>
                  <w:noWrap/>
                  <w:hideMark/>
                </w:tcPr>
                <w:p w14:paraId="45256518" w14:textId="77777777" w:rsidR="00893BBC" w:rsidRPr="001D5207" w:rsidRDefault="00893BBC" w:rsidP="00893BBC">
                  <w:pPr>
                    <w:rPr>
                      <w:color w:val="000000"/>
                      <w:sz w:val="20"/>
                      <w:lang w:eastAsia="lt-LT"/>
                    </w:rPr>
                  </w:pPr>
                  <w:r w:rsidRPr="001D5207">
                    <w:rPr>
                      <w:color w:val="000000"/>
                      <w:sz w:val="20"/>
                      <w:lang w:eastAsia="lt-LT"/>
                    </w:rPr>
                    <w:t>196</w:t>
                  </w:r>
                </w:p>
              </w:tc>
              <w:tc>
                <w:tcPr>
                  <w:tcW w:w="425" w:type="dxa"/>
                  <w:tcBorders>
                    <w:top w:val="single" w:sz="4" w:space="0" w:color="auto"/>
                    <w:left w:val="single" w:sz="4" w:space="0" w:color="auto"/>
                    <w:bottom w:val="single" w:sz="4" w:space="0" w:color="auto"/>
                    <w:right w:val="single" w:sz="4" w:space="0" w:color="auto"/>
                  </w:tcBorders>
                  <w:shd w:val="clear" w:color="auto" w:fill="auto"/>
                  <w:noWrap/>
                  <w:hideMark/>
                </w:tcPr>
                <w:p w14:paraId="46A4195E" w14:textId="77777777" w:rsidR="00893BBC" w:rsidRPr="001D5207" w:rsidRDefault="00893BBC" w:rsidP="00893BBC">
                  <w:pPr>
                    <w:rPr>
                      <w:color w:val="000000"/>
                      <w:sz w:val="20"/>
                      <w:lang w:eastAsia="lt-LT"/>
                    </w:rPr>
                  </w:pPr>
                  <w:r w:rsidRPr="001D5207">
                    <w:rPr>
                      <w:color w:val="000000"/>
                      <w:sz w:val="20"/>
                      <w:lang w:eastAsia="lt-LT"/>
                    </w:rPr>
                    <w:t>22</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206E0836" w14:textId="77777777" w:rsidR="00893BBC" w:rsidRPr="001D5207" w:rsidRDefault="00893BBC" w:rsidP="00893BBC">
                  <w:pPr>
                    <w:rPr>
                      <w:b/>
                      <w:bCs/>
                      <w:color w:val="000000"/>
                      <w:sz w:val="20"/>
                      <w:lang w:eastAsia="lt-LT"/>
                    </w:rPr>
                  </w:pPr>
                  <w:r w:rsidRPr="001D5207">
                    <w:rPr>
                      <w:b/>
                      <w:bCs/>
                      <w:color w:val="000000"/>
                      <w:sz w:val="20"/>
                      <w:lang w:eastAsia="lt-LT"/>
                    </w:rPr>
                    <w:t>218</w:t>
                  </w:r>
                </w:p>
              </w:tc>
              <w:tc>
                <w:tcPr>
                  <w:tcW w:w="426" w:type="dxa"/>
                  <w:tcBorders>
                    <w:top w:val="single" w:sz="4" w:space="0" w:color="auto"/>
                    <w:left w:val="single" w:sz="4" w:space="0" w:color="auto"/>
                    <w:bottom w:val="single" w:sz="4" w:space="0" w:color="auto"/>
                    <w:right w:val="single" w:sz="4" w:space="0" w:color="auto"/>
                  </w:tcBorders>
                  <w:shd w:val="clear" w:color="auto" w:fill="auto"/>
                  <w:noWrap/>
                  <w:hideMark/>
                </w:tcPr>
                <w:p w14:paraId="383DCA06" w14:textId="77777777" w:rsidR="00893BBC" w:rsidRPr="001D5207" w:rsidRDefault="00893BBC" w:rsidP="00893BBC">
                  <w:pPr>
                    <w:rPr>
                      <w:color w:val="000000"/>
                      <w:sz w:val="20"/>
                      <w:lang w:eastAsia="lt-LT"/>
                    </w:rPr>
                  </w:pPr>
                  <w:r w:rsidRPr="001D5207">
                    <w:rPr>
                      <w:color w:val="000000"/>
                      <w:sz w:val="20"/>
                      <w:lang w:eastAsia="lt-LT"/>
                    </w:rPr>
                    <w:t>69</w:t>
                  </w:r>
                </w:p>
              </w:tc>
              <w:tc>
                <w:tcPr>
                  <w:tcW w:w="425" w:type="dxa"/>
                  <w:tcBorders>
                    <w:top w:val="single" w:sz="4" w:space="0" w:color="auto"/>
                    <w:left w:val="single" w:sz="4" w:space="0" w:color="auto"/>
                    <w:bottom w:val="single" w:sz="4" w:space="0" w:color="auto"/>
                    <w:right w:val="single" w:sz="4" w:space="0" w:color="auto"/>
                  </w:tcBorders>
                  <w:shd w:val="clear" w:color="auto" w:fill="auto"/>
                  <w:noWrap/>
                  <w:hideMark/>
                </w:tcPr>
                <w:p w14:paraId="357C09D1" w14:textId="77777777" w:rsidR="00893BBC" w:rsidRPr="001D5207" w:rsidRDefault="00893BBC" w:rsidP="00893BBC">
                  <w:pPr>
                    <w:rPr>
                      <w:color w:val="000000"/>
                      <w:sz w:val="20"/>
                      <w:lang w:eastAsia="lt-LT"/>
                    </w:rPr>
                  </w:pPr>
                  <w:r w:rsidRPr="001D5207">
                    <w:rPr>
                      <w:color w:val="000000"/>
                      <w:sz w:val="20"/>
                      <w:lang w:eastAsia="lt-LT"/>
                    </w:rPr>
                    <w:t>40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2917542" w14:textId="77777777" w:rsidR="00893BBC" w:rsidRPr="001D5207" w:rsidRDefault="00893BBC" w:rsidP="00893BBC">
                  <w:pPr>
                    <w:rPr>
                      <w:b/>
                      <w:bCs/>
                      <w:color w:val="000000"/>
                      <w:sz w:val="20"/>
                      <w:lang w:eastAsia="lt-LT"/>
                    </w:rPr>
                  </w:pPr>
                  <w:r w:rsidRPr="001D5207">
                    <w:rPr>
                      <w:b/>
                      <w:bCs/>
                      <w:color w:val="000000"/>
                      <w:sz w:val="20"/>
                      <w:lang w:eastAsia="lt-LT"/>
                    </w:rPr>
                    <w:t>109</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514C591D" w14:textId="77777777" w:rsidR="00893BBC" w:rsidRPr="001D5207" w:rsidRDefault="00893BBC" w:rsidP="00893BBC">
                  <w:pPr>
                    <w:rPr>
                      <w:color w:val="000000"/>
                      <w:sz w:val="20"/>
                      <w:lang w:eastAsia="lt-LT"/>
                    </w:rPr>
                  </w:pPr>
                  <w:r w:rsidRPr="001D5207">
                    <w:rPr>
                      <w:color w:val="000000"/>
                      <w:sz w:val="20"/>
                      <w:lang w:eastAsia="lt-LT"/>
                    </w:rPr>
                    <w:t>336</w:t>
                  </w:r>
                </w:p>
              </w:tc>
              <w:tc>
                <w:tcPr>
                  <w:tcW w:w="425" w:type="dxa"/>
                  <w:tcBorders>
                    <w:top w:val="single" w:sz="4" w:space="0" w:color="auto"/>
                    <w:left w:val="single" w:sz="4" w:space="0" w:color="auto"/>
                    <w:bottom w:val="single" w:sz="4" w:space="0" w:color="auto"/>
                    <w:right w:val="single" w:sz="4" w:space="0" w:color="auto"/>
                  </w:tcBorders>
                  <w:shd w:val="clear" w:color="auto" w:fill="auto"/>
                  <w:noWrap/>
                  <w:hideMark/>
                </w:tcPr>
                <w:p w14:paraId="79039C5A" w14:textId="77777777" w:rsidR="00893BBC" w:rsidRPr="001D5207" w:rsidRDefault="00893BBC" w:rsidP="00893BBC">
                  <w:pPr>
                    <w:rPr>
                      <w:color w:val="000000"/>
                      <w:sz w:val="20"/>
                      <w:lang w:eastAsia="lt-LT"/>
                    </w:rPr>
                  </w:pPr>
                  <w:r w:rsidRPr="001D5207">
                    <w:rPr>
                      <w:color w:val="000000"/>
                      <w:sz w:val="20"/>
                      <w:lang w:eastAsia="lt-LT"/>
                    </w:rPr>
                    <w:t>50</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1A921B57" w14:textId="77777777" w:rsidR="00893BBC" w:rsidRPr="001D5207" w:rsidRDefault="00893BBC" w:rsidP="00893BBC">
                  <w:pPr>
                    <w:rPr>
                      <w:b/>
                      <w:bCs/>
                      <w:color w:val="000000"/>
                      <w:sz w:val="20"/>
                      <w:lang w:eastAsia="lt-LT"/>
                    </w:rPr>
                  </w:pPr>
                  <w:r w:rsidRPr="001D5207">
                    <w:rPr>
                      <w:b/>
                      <w:bCs/>
                      <w:color w:val="000000"/>
                      <w:sz w:val="20"/>
                      <w:lang w:eastAsia="lt-LT"/>
                    </w:rPr>
                    <w:t>386</w:t>
                  </w:r>
                </w:p>
              </w:tc>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14:paraId="722F88C8" w14:textId="77777777" w:rsidR="00893BBC" w:rsidRPr="001D5207" w:rsidRDefault="00893BBC" w:rsidP="00893BBC">
                  <w:pPr>
                    <w:rPr>
                      <w:color w:val="000000"/>
                      <w:sz w:val="20"/>
                      <w:lang w:eastAsia="lt-LT"/>
                    </w:rPr>
                  </w:pPr>
                  <w:r w:rsidRPr="001D5207">
                    <w:rPr>
                      <w:color w:val="000000"/>
                      <w:sz w:val="20"/>
                      <w:lang w:eastAsia="lt-LT"/>
                    </w:rPr>
                    <w:t>117</w:t>
                  </w:r>
                </w:p>
              </w:tc>
              <w:tc>
                <w:tcPr>
                  <w:tcW w:w="425" w:type="dxa"/>
                  <w:tcBorders>
                    <w:top w:val="single" w:sz="4" w:space="0" w:color="auto"/>
                    <w:left w:val="single" w:sz="4" w:space="0" w:color="auto"/>
                    <w:bottom w:val="single" w:sz="4" w:space="0" w:color="auto"/>
                    <w:right w:val="single" w:sz="4" w:space="0" w:color="auto"/>
                  </w:tcBorders>
                  <w:shd w:val="clear" w:color="auto" w:fill="auto"/>
                  <w:noWrap/>
                  <w:hideMark/>
                </w:tcPr>
                <w:p w14:paraId="249F58FE" w14:textId="77777777" w:rsidR="00893BBC" w:rsidRPr="001D5207" w:rsidRDefault="00893BBC" w:rsidP="00893BBC">
                  <w:pPr>
                    <w:rPr>
                      <w:color w:val="000000"/>
                      <w:sz w:val="20"/>
                      <w:lang w:eastAsia="lt-LT"/>
                    </w:rPr>
                  </w:pPr>
                  <w:r w:rsidRPr="001D5207">
                    <w:rPr>
                      <w:color w:val="000000"/>
                      <w:sz w:val="20"/>
                      <w:lang w:eastAsia="lt-LT"/>
                    </w:rPr>
                    <w:t>80</w:t>
                  </w:r>
                </w:p>
              </w:tc>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1025D753" w14:textId="77777777" w:rsidR="00893BBC" w:rsidRPr="001D5207" w:rsidRDefault="00893BBC" w:rsidP="00893BBC">
                  <w:pPr>
                    <w:rPr>
                      <w:b/>
                      <w:bCs/>
                      <w:color w:val="000000"/>
                      <w:sz w:val="20"/>
                      <w:lang w:eastAsia="lt-LT"/>
                    </w:rPr>
                  </w:pPr>
                  <w:r w:rsidRPr="001D5207">
                    <w:rPr>
                      <w:b/>
                      <w:bCs/>
                      <w:color w:val="000000"/>
                      <w:sz w:val="20"/>
                      <w:lang w:eastAsia="lt-LT"/>
                    </w:rPr>
                    <w:t>197</w:t>
                  </w:r>
                </w:p>
              </w:tc>
              <w:tc>
                <w:tcPr>
                  <w:tcW w:w="516" w:type="dxa"/>
                  <w:tcBorders>
                    <w:top w:val="single" w:sz="4" w:space="0" w:color="auto"/>
                    <w:left w:val="single" w:sz="4" w:space="0" w:color="auto"/>
                    <w:bottom w:val="single" w:sz="4" w:space="0" w:color="auto"/>
                    <w:right w:val="single" w:sz="4" w:space="0" w:color="auto"/>
                  </w:tcBorders>
                </w:tcPr>
                <w:p w14:paraId="4E39E251" w14:textId="77829C11" w:rsidR="00893BBC" w:rsidRPr="001D5207" w:rsidRDefault="00893BBC" w:rsidP="00893BBC">
                  <w:pPr>
                    <w:rPr>
                      <w:color w:val="000000"/>
                      <w:sz w:val="20"/>
                      <w:lang w:eastAsia="lt-LT"/>
                    </w:rPr>
                  </w:pPr>
                  <w:r w:rsidRPr="00F26B82">
                    <w:rPr>
                      <w:sz w:val="20"/>
                    </w:rPr>
                    <w:t>738</w:t>
                  </w:r>
                </w:p>
              </w:tc>
              <w:tc>
                <w:tcPr>
                  <w:tcW w:w="436" w:type="dxa"/>
                  <w:tcBorders>
                    <w:top w:val="single" w:sz="4" w:space="0" w:color="auto"/>
                    <w:left w:val="single" w:sz="4" w:space="0" w:color="auto"/>
                    <w:bottom w:val="single" w:sz="4" w:space="0" w:color="auto"/>
                    <w:right w:val="single" w:sz="4" w:space="0" w:color="auto"/>
                  </w:tcBorders>
                </w:tcPr>
                <w:p w14:paraId="1DAC1325" w14:textId="68AA202D" w:rsidR="00893BBC" w:rsidRPr="001D5207" w:rsidRDefault="00893BBC" w:rsidP="00893BBC">
                  <w:pPr>
                    <w:rPr>
                      <w:color w:val="000000"/>
                      <w:sz w:val="20"/>
                      <w:lang w:eastAsia="lt-LT"/>
                    </w:rPr>
                  </w:pPr>
                  <w:r w:rsidRPr="00F26B82">
                    <w:rPr>
                      <w:sz w:val="20"/>
                    </w:rPr>
                    <w:t>70</w:t>
                  </w:r>
                </w:p>
              </w:tc>
              <w:tc>
                <w:tcPr>
                  <w:tcW w:w="571" w:type="dxa"/>
                  <w:tcBorders>
                    <w:top w:val="single" w:sz="4" w:space="0" w:color="auto"/>
                    <w:left w:val="single" w:sz="4" w:space="0" w:color="auto"/>
                    <w:bottom w:val="single" w:sz="4" w:space="0" w:color="auto"/>
                    <w:right w:val="single" w:sz="4" w:space="0" w:color="auto"/>
                  </w:tcBorders>
                </w:tcPr>
                <w:p w14:paraId="6D67447C" w14:textId="61A13CAE" w:rsidR="00893BBC" w:rsidRPr="001D5207" w:rsidRDefault="00893BBC" w:rsidP="00893BBC">
                  <w:pPr>
                    <w:rPr>
                      <w:b/>
                      <w:bCs/>
                      <w:color w:val="000000"/>
                      <w:sz w:val="20"/>
                      <w:lang w:eastAsia="lt-LT"/>
                    </w:rPr>
                  </w:pPr>
                  <w:r w:rsidRPr="00F26B82">
                    <w:rPr>
                      <w:b/>
                      <w:bCs/>
                      <w:sz w:val="20"/>
                    </w:rPr>
                    <w:t>808</w:t>
                  </w:r>
                </w:p>
              </w:tc>
              <w:tc>
                <w:tcPr>
                  <w:tcW w:w="516" w:type="dxa"/>
                  <w:tcBorders>
                    <w:top w:val="single" w:sz="4" w:space="0" w:color="auto"/>
                    <w:left w:val="single" w:sz="4" w:space="0" w:color="auto"/>
                    <w:bottom w:val="single" w:sz="4" w:space="0" w:color="auto"/>
                    <w:right w:val="single" w:sz="4" w:space="0" w:color="auto"/>
                  </w:tcBorders>
                </w:tcPr>
                <w:p w14:paraId="2DBB4548" w14:textId="01A1D35B" w:rsidR="00893BBC" w:rsidRPr="001D5207" w:rsidRDefault="00893BBC" w:rsidP="00893BBC">
                  <w:pPr>
                    <w:rPr>
                      <w:color w:val="000000"/>
                      <w:sz w:val="20"/>
                      <w:lang w:eastAsia="lt-LT"/>
                    </w:rPr>
                  </w:pPr>
                  <w:r w:rsidRPr="00F26B82">
                    <w:rPr>
                      <w:sz w:val="20"/>
                    </w:rPr>
                    <w:t>220</w:t>
                  </w:r>
                </w:p>
              </w:tc>
              <w:tc>
                <w:tcPr>
                  <w:tcW w:w="516" w:type="dxa"/>
                  <w:tcBorders>
                    <w:top w:val="single" w:sz="4" w:space="0" w:color="auto"/>
                    <w:left w:val="single" w:sz="4" w:space="0" w:color="auto"/>
                    <w:bottom w:val="single" w:sz="4" w:space="0" w:color="auto"/>
                    <w:right w:val="single" w:sz="4" w:space="0" w:color="auto"/>
                  </w:tcBorders>
                </w:tcPr>
                <w:p w14:paraId="045D94EE" w14:textId="3835EC00" w:rsidR="00893BBC" w:rsidRPr="001D5207" w:rsidRDefault="00893BBC" w:rsidP="00893BBC">
                  <w:pPr>
                    <w:rPr>
                      <w:color w:val="000000"/>
                      <w:sz w:val="20"/>
                      <w:lang w:eastAsia="lt-LT"/>
                    </w:rPr>
                  </w:pPr>
                  <w:r w:rsidRPr="00F26B82">
                    <w:rPr>
                      <w:sz w:val="20"/>
                    </w:rPr>
                    <w:t>131</w:t>
                  </w:r>
                </w:p>
              </w:tc>
              <w:tc>
                <w:tcPr>
                  <w:tcW w:w="571" w:type="dxa"/>
                  <w:tcBorders>
                    <w:top w:val="single" w:sz="4" w:space="0" w:color="auto"/>
                    <w:left w:val="single" w:sz="4" w:space="0" w:color="auto"/>
                    <w:bottom w:val="single" w:sz="4" w:space="0" w:color="auto"/>
                    <w:right w:val="single" w:sz="4" w:space="0" w:color="auto"/>
                  </w:tcBorders>
                </w:tcPr>
                <w:p w14:paraId="4C681DA6" w14:textId="07ABA0B5" w:rsidR="00893BBC" w:rsidRPr="001D5207" w:rsidRDefault="00893BBC" w:rsidP="00893BBC">
                  <w:pPr>
                    <w:rPr>
                      <w:b/>
                      <w:bCs/>
                      <w:color w:val="000000"/>
                      <w:sz w:val="20"/>
                      <w:lang w:eastAsia="lt-LT"/>
                    </w:rPr>
                  </w:pPr>
                  <w:r w:rsidRPr="00F26B82">
                    <w:rPr>
                      <w:b/>
                      <w:bCs/>
                      <w:sz w:val="20"/>
                    </w:rPr>
                    <w:t>351</w:t>
                  </w:r>
                </w:p>
              </w:tc>
            </w:tr>
          </w:tbl>
          <w:p w14:paraId="3C1D5331" w14:textId="77777777" w:rsidR="00E624F3" w:rsidRPr="001D5207" w:rsidRDefault="00E624F3" w:rsidP="00E624F3">
            <w:pPr>
              <w:ind w:left="30"/>
              <w:jc w:val="both"/>
              <w:rPr>
                <w:color w:val="000000" w:themeColor="text1"/>
                <w:sz w:val="22"/>
                <w:szCs w:val="22"/>
              </w:rPr>
            </w:pPr>
          </w:p>
          <w:p w14:paraId="4C0D5DCF" w14:textId="71DA3D6F" w:rsidR="00E624F3" w:rsidRPr="001D5207" w:rsidRDefault="00E624F3" w:rsidP="00E624F3">
            <w:pPr>
              <w:ind w:left="30"/>
              <w:jc w:val="both"/>
              <w:rPr>
                <w:color w:val="000000" w:themeColor="text1"/>
                <w:sz w:val="22"/>
                <w:szCs w:val="22"/>
              </w:rPr>
            </w:pPr>
            <w:r w:rsidRPr="001D5207">
              <w:rPr>
                <w:color w:val="000000" w:themeColor="text1"/>
                <w:sz w:val="22"/>
                <w:szCs w:val="22"/>
              </w:rPr>
              <w:t>Pateikti statistiniai duomenys liudija apie augantį senyvo amžiaus asmenų poreikį ilgalaikei socialinei globai</w:t>
            </w:r>
            <w:r w:rsidRPr="00F26B82">
              <w:t xml:space="preserve"> </w:t>
            </w:r>
            <w:r w:rsidRPr="001D5207">
              <w:rPr>
                <w:color w:val="000000" w:themeColor="text1"/>
                <w:sz w:val="22"/>
                <w:szCs w:val="22"/>
              </w:rPr>
              <w:t xml:space="preserve"> ir apie mažėjantį socialinės globos poreikį  suaugusiems asmenims su negalia. Suaugusių asmenų su negalia skaičiaus mažėjimas susijęs su institucinės globos pertvarka, </w:t>
            </w:r>
            <w:proofErr w:type="spellStart"/>
            <w:r w:rsidRPr="001D5207">
              <w:rPr>
                <w:color w:val="000000" w:themeColor="text1"/>
                <w:sz w:val="22"/>
                <w:szCs w:val="22"/>
              </w:rPr>
              <w:t>deinstitucionalizacija</w:t>
            </w:r>
            <w:proofErr w:type="spellEnd"/>
            <w:r w:rsidRPr="001D5207">
              <w:rPr>
                <w:color w:val="000000" w:themeColor="text1"/>
                <w:sz w:val="22"/>
                <w:szCs w:val="22"/>
              </w:rPr>
              <w:t xml:space="preserve"> (toliau – DI),  kurios tikslas – atsisakyti žmogaus teises ir laisves pažeidžiančių didelių globos namų ir suteikti galimybę intelekto ar psichosocialinę negalią turintiems darbingo amžiaus žmonėms gyventi bendruomenėje, būti jos dalimi, gauti reikalingas paslaugas, tapti savarankiškais. Pažymėtina, kad atliepiant DI tikslus, remiantis šiuo metu galiojančiais teisės aktais nuo 2030 m. į </w:t>
            </w:r>
            <w:r w:rsidR="002E3F62" w:rsidRPr="00BC561B">
              <w:rPr>
                <w:szCs w:val="24"/>
              </w:rPr>
              <w:t>socialinės globos įstaig</w:t>
            </w:r>
            <w:r w:rsidR="002E3F62">
              <w:rPr>
                <w:szCs w:val="24"/>
              </w:rPr>
              <w:t>as</w:t>
            </w:r>
            <w:r w:rsidR="002E3F62" w:rsidRPr="00BC561B">
              <w:rPr>
                <w:szCs w:val="24"/>
              </w:rPr>
              <w:t xml:space="preserve">, </w:t>
            </w:r>
            <w:r w:rsidRPr="001D5207">
              <w:rPr>
                <w:color w:val="000000" w:themeColor="text1"/>
                <w:sz w:val="22"/>
                <w:szCs w:val="22"/>
              </w:rPr>
              <w:t xml:space="preserve"> negalės būti nukreipiami gyventi </w:t>
            </w:r>
            <w:r w:rsidRPr="001D5207">
              <w:rPr>
                <w:b/>
                <w:bCs/>
                <w:color w:val="000000" w:themeColor="text1"/>
                <w:sz w:val="22"/>
                <w:szCs w:val="22"/>
              </w:rPr>
              <w:t>darbingo amžiaus asmenys</w:t>
            </w:r>
            <w:r w:rsidRPr="001D5207">
              <w:rPr>
                <w:color w:val="000000" w:themeColor="text1"/>
                <w:sz w:val="22"/>
                <w:szCs w:val="22"/>
              </w:rPr>
              <w:t xml:space="preserve"> su negalia, išskyrus slaugomus asmenis, bet į jų vietas valstybės socialinės globos įstaigose galėtų būti priimami nesavarankiški, institucinei socialinei globai poreikį turintys </w:t>
            </w:r>
            <w:r w:rsidRPr="001D5207">
              <w:rPr>
                <w:b/>
                <w:bCs/>
                <w:color w:val="000000" w:themeColor="text1"/>
                <w:sz w:val="22"/>
                <w:szCs w:val="22"/>
              </w:rPr>
              <w:t>senyvo amžiaus asmenys</w:t>
            </w:r>
            <w:r w:rsidRPr="001D5207">
              <w:rPr>
                <w:rStyle w:val="Puslapioinaosnuoroda"/>
                <w:color w:val="000000" w:themeColor="text1"/>
                <w:sz w:val="22"/>
                <w:szCs w:val="22"/>
              </w:rPr>
              <w:footnoteReference w:id="16"/>
            </w:r>
            <w:r w:rsidRPr="001D5207">
              <w:rPr>
                <w:color w:val="000000" w:themeColor="text1"/>
                <w:sz w:val="22"/>
                <w:szCs w:val="22"/>
              </w:rPr>
              <w:t xml:space="preserve">. </w:t>
            </w:r>
          </w:p>
          <w:p w14:paraId="37D4B454" w14:textId="77777777" w:rsidR="00E624F3" w:rsidRPr="001D5207" w:rsidRDefault="00E624F3" w:rsidP="00E624F3">
            <w:pPr>
              <w:pStyle w:val="Sraopastraipa"/>
              <w:ind w:left="22" w:firstLine="7"/>
              <w:jc w:val="both"/>
              <w:rPr>
                <w:color w:val="000000" w:themeColor="text1"/>
                <w:sz w:val="22"/>
                <w:szCs w:val="22"/>
              </w:rPr>
            </w:pPr>
            <w:r w:rsidRPr="001D5207">
              <w:rPr>
                <w:color w:val="000000" w:themeColor="text1"/>
                <w:sz w:val="22"/>
                <w:szCs w:val="22"/>
              </w:rPr>
              <w:t>Plėtros galimybes ilgalaikės socialinės globos paslaugų teikimui senyvo amžiaus asmenims patvirtina ir 2022 m. Socialinės apsaugos ir darbo ministerijos (toliau – SADM) atlikta 60 Lietuvos savivaldybių apklausos duomenų analizė, kuria vadovaujantis nustatyta, kad Lietuvoje ilgalaikės socialinės  globos paslaugų teikimui senyvo amžiaus asmenims artimiausiu metu planuojama naujai įsteigti 1365 vietas (iš jų savivaldybės iniciatyva – 390 vietų,  privačios iniciatyvos numato įsteigti  975 vietas). Pažymėtina, kad tiek veikiančioms socialinės globos įstaigoms, tiek naujai kuriamoms galioja analogiški teikiamų socialinės globos paslaugų kokybės reikalavimai.</w:t>
            </w:r>
          </w:p>
          <w:p w14:paraId="7616C418" w14:textId="77777777" w:rsidR="00E624F3" w:rsidRPr="001D5207" w:rsidRDefault="00E624F3" w:rsidP="00E624F3">
            <w:pPr>
              <w:jc w:val="both"/>
              <w:rPr>
                <w:color w:val="000000" w:themeColor="text1"/>
                <w:sz w:val="22"/>
                <w:szCs w:val="22"/>
              </w:rPr>
            </w:pPr>
            <w:r w:rsidRPr="001D5207">
              <w:rPr>
                <w:color w:val="000000" w:themeColor="text1"/>
                <w:sz w:val="22"/>
                <w:szCs w:val="22"/>
              </w:rPr>
              <w:t xml:space="preserve">Prognozuojant naujų socialinės globos vietų plėtrą senyvo amžiaus asmenims, būtina atsižvelgti ir į šiuo metu kuriamą ilgalaikės priežiūros paslaugų (toliau – IPP) teikimo modelį, kuris apima ir vertina stacionarinių slaugos paslaugų (išskyrus </w:t>
            </w:r>
            <w:proofErr w:type="spellStart"/>
            <w:r w:rsidRPr="001D5207">
              <w:rPr>
                <w:color w:val="000000" w:themeColor="text1"/>
                <w:sz w:val="22"/>
                <w:szCs w:val="22"/>
              </w:rPr>
              <w:t>paliatyviąją</w:t>
            </w:r>
            <w:proofErr w:type="spellEnd"/>
            <w:r w:rsidRPr="001D5207">
              <w:rPr>
                <w:color w:val="000000" w:themeColor="text1"/>
                <w:sz w:val="22"/>
                <w:szCs w:val="22"/>
              </w:rPr>
              <w:t xml:space="preserve"> pagalbą) integravimo į stacionarinę ilgalaikę priežiūrą teisines ir finansavimo galimybes. </w:t>
            </w:r>
            <w:bookmarkStart w:id="3" w:name="_Hlk129932622"/>
            <w:r w:rsidRPr="001D5207">
              <w:rPr>
                <w:color w:val="000000" w:themeColor="text1"/>
                <w:sz w:val="22"/>
                <w:szCs w:val="22"/>
              </w:rPr>
              <w:t xml:space="preserve">Jau yra patvirtintas ilgalaikės priežiūros paslaugų teikimo tvarkos </w:t>
            </w:r>
            <w:r w:rsidRPr="001D5207">
              <w:rPr>
                <w:color w:val="000000" w:themeColor="text1"/>
                <w:sz w:val="22"/>
                <w:szCs w:val="22"/>
              </w:rPr>
              <w:lastRenderedPageBreak/>
              <w:t>aprašas</w:t>
            </w:r>
            <w:r w:rsidRPr="001D5207">
              <w:rPr>
                <w:rStyle w:val="Puslapioinaosnuoroda"/>
                <w:color w:val="000000" w:themeColor="text1"/>
                <w:sz w:val="22"/>
                <w:szCs w:val="22"/>
              </w:rPr>
              <w:footnoteReference w:id="17"/>
            </w:r>
            <w:r w:rsidRPr="001D5207">
              <w:rPr>
                <w:color w:val="000000" w:themeColor="text1"/>
                <w:sz w:val="22"/>
                <w:szCs w:val="22"/>
              </w:rPr>
              <w:t xml:space="preserve">, o </w:t>
            </w:r>
            <w:bookmarkEnd w:id="3"/>
            <w:r w:rsidRPr="001D5207">
              <w:rPr>
                <w:color w:val="000000" w:themeColor="text1"/>
                <w:sz w:val="22"/>
                <w:szCs w:val="22"/>
              </w:rPr>
              <w:t>įgyvendinant IPP veiklas 2021-2027 m. Europos Sąjungos (toliau - ES)  struktūrinių fondų lėšomis, tikimasi kad iki 2027 m. bus sukurta 2320 naujų IPP vietų, iš jų:</w:t>
            </w:r>
          </w:p>
          <w:p w14:paraId="626DB4CB" w14:textId="77777777" w:rsidR="00E624F3" w:rsidRPr="001D5207" w:rsidRDefault="00E624F3" w:rsidP="00E624F3">
            <w:pPr>
              <w:pStyle w:val="Sraopastraipa"/>
              <w:numPr>
                <w:ilvl w:val="0"/>
                <w:numId w:val="1"/>
              </w:numPr>
              <w:tabs>
                <w:tab w:val="left" w:pos="314"/>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9" w:hanging="29"/>
              <w:jc w:val="both"/>
              <w:rPr>
                <w:color w:val="000000" w:themeColor="text1"/>
                <w:sz w:val="22"/>
                <w:szCs w:val="22"/>
              </w:rPr>
            </w:pPr>
            <w:r w:rsidRPr="001D5207">
              <w:rPr>
                <w:color w:val="000000" w:themeColor="text1"/>
                <w:sz w:val="22"/>
                <w:szCs w:val="22"/>
              </w:rPr>
              <w:t>apie 500 vietų, finansuojamų SADM suplanuotomis 2021-2027 m. ES struktūrinių fondų lėšomis (regioninė pažangos priemonė „Sumažinti pažeidžiamų visuomenės grupių gerovės teritorinius skirtumus“);</w:t>
            </w:r>
          </w:p>
          <w:p w14:paraId="25BDB520" w14:textId="77777777" w:rsidR="00E624F3" w:rsidRPr="001D5207" w:rsidRDefault="00E624F3" w:rsidP="00E624F3">
            <w:pPr>
              <w:pStyle w:val="Sraopastraipa"/>
              <w:numPr>
                <w:ilvl w:val="0"/>
                <w:numId w:val="1"/>
              </w:numPr>
              <w:tabs>
                <w:tab w:val="left" w:pos="314"/>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 w:hanging="29"/>
              <w:jc w:val="both"/>
              <w:rPr>
                <w:color w:val="000000" w:themeColor="text1"/>
                <w:sz w:val="22"/>
                <w:szCs w:val="22"/>
              </w:rPr>
            </w:pPr>
            <w:r w:rsidRPr="001D5207">
              <w:rPr>
                <w:color w:val="000000" w:themeColor="text1"/>
                <w:sz w:val="22"/>
                <w:szCs w:val="22"/>
              </w:rPr>
              <w:t xml:space="preserve">apie 720 vietų, skirtų senyvo amžiaus asmenims, sergantiems Alzheimeriu ir demencija kurių steigimas  finansuojamas  Sveikatos apsaugos ministerijos (toliau-SAM) suplanuotomis 2021-2027 m. ES struktūrinių fondų lėšomis (regioninė pažangos priemonė „Užtikrinti ilgalaikės priežiūros paslaugų plėtrą“); </w:t>
            </w:r>
          </w:p>
          <w:p w14:paraId="79DA5D3F" w14:textId="77777777" w:rsidR="00E624F3" w:rsidRPr="001D5207" w:rsidRDefault="00E624F3" w:rsidP="00E624F3">
            <w:pPr>
              <w:pStyle w:val="Sraopastraipa"/>
              <w:numPr>
                <w:ilvl w:val="0"/>
                <w:numId w:val="1"/>
              </w:numPr>
              <w:tabs>
                <w:tab w:val="left" w:pos="314"/>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 w:hanging="29"/>
              <w:rPr>
                <w:color w:val="000000" w:themeColor="text1"/>
                <w:sz w:val="22"/>
                <w:szCs w:val="22"/>
              </w:rPr>
            </w:pPr>
            <w:r w:rsidRPr="001D5207">
              <w:rPr>
                <w:color w:val="000000" w:themeColor="text1"/>
                <w:sz w:val="22"/>
                <w:szCs w:val="22"/>
              </w:rPr>
              <w:t>apie 1100 vietų tikimasi sukurti esamose palaikomojo gydymo ir slaugos ligoninėse, kuriose po pertvarkos numatyta teikti stacionarines IPP paslaugas (SAM duomenimis).</w:t>
            </w:r>
          </w:p>
          <w:p w14:paraId="25A842B2" w14:textId="6CE50705" w:rsidR="00F7465C" w:rsidRPr="001D5207" w:rsidRDefault="00E624F3" w:rsidP="00F7465C">
            <w:pPr>
              <w:jc w:val="both"/>
              <w:rPr>
                <w:color w:val="000000" w:themeColor="text1"/>
                <w:sz w:val="22"/>
                <w:szCs w:val="22"/>
              </w:rPr>
            </w:pPr>
            <w:r w:rsidRPr="001D5207">
              <w:rPr>
                <w:color w:val="000000" w:themeColor="text1"/>
                <w:sz w:val="22"/>
                <w:szCs w:val="22"/>
              </w:rPr>
              <w:t xml:space="preserve">Šiame kontekste ES struktūrinių fondų lėšomis finansuojami projektai numatyti įgyvendinti regionų planavimo būdu, tačiau siekia tokių pat tikslų, kaip ir ši pažangos priemonė – didinti socialinės globos paslaugų prieinamumą senyvo amžiaus asmenims bei gerinti šių paslaugų kokybę. Kaip rodo patirtis, esant tokiam ES lėšų planavimo būdui savivaldybės nelinkusios investuoti į socialinės globos įstaigas, </w:t>
            </w:r>
            <w:r w:rsidR="002E3F62" w:rsidRPr="00296E64">
              <w:rPr>
                <w:sz w:val="22"/>
                <w:szCs w:val="22"/>
              </w:rPr>
              <w:t>kurių savininko teises ir pareigas įgyvendina Lietuvos Respublikos socialinės apsaugos ir darbo ministerija</w:t>
            </w:r>
            <w:r w:rsidR="002E3F62">
              <w:rPr>
                <w:sz w:val="22"/>
                <w:szCs w:val="22"/>
              </w:rPr>
              <w:t xml:space="preserve"> (toliau – valstybės socialinės globos įstaigos),</w:t>
            </w:r>
            <w:r w:rsidR="002E3F62" w:rsidRPr="001D5207">
              <w:rPr>
                <w:color w:val="000000" w:themeColor="text1"/>
                <w:sz w:val="22"/>
                <w:szCs w:val="22"/>
              </w:rPr>
              <w:t xml:space="preserve"> </w:t>
            </w:r>
            <w:r w:rsidRPr="001D5207">
              <w:rPr>
                <w:color w:val="000000" w:themeColor="text1"/>
                <w:sz w:val="22"/>
                <w:szCs w:val="22"/>
              </w:rPr>
              <w:t xml:space="preserve">bet pirmenybę teikia investavimui į savivaldybės pavaldumo arba nevyriausybinių organizacijų valdomas socialinės globos įstaigas. Tą patvirtintina ir </w:t>
            </w:r>
            <w:r w:rsidRPr="001D5207">
              <w:rPr>
                <w:sz w:val="22"/>
                <w:szCs w:val="22"/>
                <w:lang w:eastAsia="lt-LT"/>
              </w:rPr>
              <w:t xml:space="preserve">2022–2030 m. rengiami arba parengti regionų plėtros planai bei </w:t>
            </w:r>
            <w:r w:rsidRPr="001D5207">
              <w:rPr>
                <w:sz w:val="22"/>
                <w:szCs w:val="22"/>
              </w:rPr>
              <w:t xml:space="preserve">2022–2030 m. atskirų regionų plėtros planų pažangos priemonių „Vystyti stacionarių ir nestacionarių socialinių paslaugų infrastruktūrą“ pagrindimo aprašai, kuriuose nėra įtrauktos nė vienos valstybės socialinės globos įstaigos, siekiant investuoti į jų turimos infrastruktūros modernizavimą. </w:t>
            </w:r>
            <w:r w:rsidRPr="001D5207">
              <w:rPr>
                <w:color w:val="000000" w:themeColor="text1"/>
                <w:sz w:val="22"/>
                <w:szCs w:val="22"/>
              </w:rPr>
              <w:t>Todėl šis pažangos</w:t>
            </w:r>
            <w:r w:rsidR="00F7465C" w:rsidRPr="001D5207">
              <w:rPr>
                <w:color w:val="000000" w:themeColor="text1"/>
                <w:sz w:val="22"/>
                <w:szCs w:val="22"/>
              </w:rPr>
              <w:t xml:space="preserve"> priemonės aprašas tikslingai nukreiptas tik </w:t>
            </w:r>
            <w:r w:rsidR="00F7465C" w:rsidRPr="001D5207">
              <w:rPr>
                <w:b/>
                <w:bCs/>
                <w:color w:val="000000" w:themeColor="text1"/>
                <w:sz w:val="22"/>
                <w:szCs w:val="22"/>
              </w:rPr>
              <w:t>valstybės socialinės globos namų</w:t>
            </w:r>
            <w:r w:rsidR="00F7465C" w:rsidRPr="001D5207">
              <w:rPr>
                <w:color w:val="000000" w:themeColor="text1"/>
                <w:sz w:val="22"/>
                <w:szCs w:val="22"/>
              </w:rPr>
              <w:t xml:space="preserve"> infrastruktūros pritaikymą  </w:t>
            </w:r>
            <w:r w:rsidR="00F7465C" w:rsidRPr="001D5207">
              <w:rPr>
                <w:b/>
                <w:bCs/>
                <w:color w:val="000000" w:themeColor="text1"/>
                <w:sz w:val="22"/>
                <w:szCs w:val="22"/>
              </w:rPr>
              <w:t>senyvo amžiaus asmenims su negalia</w:t>
            </w:r>
            <w:r w:rsidR="00F7465C" w:rsidRPr="001D5207">
              <w:rPr>
                <w:color w:val="000000" w:themeColor="text1"/>
                <w:sz w:val="22"/>
                <w:szCs w:val="22"/>
              </w:rPr>
              <w:t xml:space="preserve"> (jų tarpe ir sergantiems Alzheimeriu ir demencija), kurie dabar gyvena ir gauna socialinės globos paslaugas bei naujiems senyvo amžiaus asmenims (jų tarpe ir sergantiems Alzheimeriu ir demencija) iš bendruomenės, kurie gaus socialinės globos paslaugas vietoje intelekto ar psichosocialinę negalią turinčių </w:t>
            </w:r>
            <w:r w:rsidR="00F7465C" w:rsidRPr="001D5207">
              <w:rPr>
                <w:b/>
                <w:bCs/>
                <w:color w:val="000000" w:themeColor="text1"/>
                <w:sz w:val="22"/>
                <w:szCs w:val="22"/>
              </w:rPr>
              <w:t>darbingo amžiaus asmenų</w:t>
            </w:r>
            <w:r w:rsidR="00F7465C" w:rsidRPr="001D5207">
              <w:rPr>
                <w:color w:val="000000" w:themeColor="text1"/>
                <w:sz w:val="22"/>
                <w:szCs w:val="22"/>
              </w:rPr>
              <w:t xml:space="preserve">, išėjusių iš valstybės socialinės globos namų ir apsigyvenusių bendruomenėje: grupinio gyvenimo namuose, apsaugotame būste, savarankiško gyvenimo namuose ir pan. </w:t>
            </w:r>
          </w:p>
          <w:p w14:paraId="431378EF" w14:textId="77777777" w:rsidR="00F7465C" w:rsidRPr="001D5207" w:rsidRDefault="00F7465C" w:rsidP="00F7465C">
            <w:pPr>
              <w:ind w:firstLine="29"/>
              <w:jc w:val="both"/>
              <w:rPr>
                <w:color w:val="000000" w:themeColor="text1"/>
                <w:sz w:val="22"/>
                <w:szCs w:val="22"/>
              </w:rPr>
            </w:pPr>
            <w:r w:rsidRPr="001D5207">
              <w:rPr>
                <w:color w:val="000000" w:themeColor="text1"/>
                <w:sz w:val="22"/>
                <w:szCs w:val="22"/>
              </w:rPr>
              <w:t>Siekiant užtikrinti teikiamų paslaugų kokybę, būtina atsižvelgti ne tik į socialinių paslaugų kokybės gerinimo siekius, kurie numatyti XVII Vyriausybės programoje</w:t>
            </w:r>
            <w:r w:rsidRPr="001D5207">
              <w:rPr>
                <w:rStyle w:val="Puslapioinaosnuoroda"/>
                <w:color w:val="000000" w:themeColor="text1"/>
                <w:sz w:val="22"/>
                <w:szCs w:val="22"/>
              </w:rPr>
              <w:footnoteReference w:id="18"/>
            </w:r>
            <w:r w:rsidRPr="001D5207">
              <w:rPr>
                <w:color w:val="000000" w:themeColor="text1"/>
                <w:sz w:val="22"/>
                <w:szCs w:val="22"/>
              </w:rPr>
              <w:t>, bet ir į Socialinės globos normų apraše</w:t>
            </w:r>
            <w:r w:rsidRPr="001D5207">
              <w:rPr>
                <w:rStyle w:val="Puslapioinaosnuoroda"/>
                <w:color w:val="000000" w:themeColor="text1"/>
                <w:sz w:val="22"/>
                <w:szCs w:val="22"/>
              </w:rPr>
              <w:footnoteReference w:id="19"/>
            </w:r>
            <w:r w:rsidRPr="001D5207">
              <w:rPr>
                <w:color w:val="000000" w:themeColor="text1"/>
                <w:sz w:val="22"/>
                <w:szCs w:val="22"/>
              </w:rPr>
              <w:t xml:space="preserve"> įtvirtintas įpareigojančias nuostatas, numatančias, kad  nuo 2035 m. sausio 1 d. socialinės globos namuose minimalus plotas vienam senyvo amžiaus asmeniui </w:t>
            </w:r>
            <w:proofErr w:type="spellStart"/>
            <w:r w:rsidRPr="001D5207">
              <w:rPr>
                <w:color w:val="000000" w:themeColor="text1"/>
                <w:sz w:val="22"/>
                <w:szCs w:val="22"/>
              </w:rPr>
              <w:t>vienviečiame</w:t>
            </w:r>
            <w:proofErr w:type="spellEnd"/>
            <w:r w:rsidRPr="001D5207">
              <w:rPr>
                <w:color w:val="000000" w:themeColor="text1"/>
                <w:sz w:val="22"/>
                <w:szCs w:val="22"/>
              </w:rPr>
              <w:t xml:space="preserve"> gyvenamajame miegamajame kambaryje turės būti ne mažesnis kaip 9 kv. m., dviviečio kambario plotas – ne mažesnis kaip 14 kv. m., o higienos patalpos įrengtos prie kiekvieno gyvenamojo miegamojo kambario. Į higienos patalpą turi būti patenkama tiesiai iš gyvenamojo miegamojo kambario arba iš koridoriaus, kuriuo naudojasi ne daugiau kaip dviejų viename bloke esančių gyvenamųjų miegamųjų kambarių gyventojai. Senyvo amžiaus asmenys, sergantys Alzheimerio liga ar demencija, socialinės globos įstaigose nuo 2035 m. sausio 1 d. gyvens grupėmis iki 25 asmenų, o patalpos šiems asmenims turės būti įrengtos pagal Socialinės globos normų apraše</w:t>
            </w:r>
            <w:r w:rsidRPr="001D5207">
              <w:rPr>
                <w:rStyle w:val="Puslapioinaosnuoroda"/>
                <w:color w:val="000000" w:themeColor="text1"/>
                <w:sz w:val="22"/>
                <w:szCs w:val="22"/>
              </w:rPr>
              <w:footnoteReference w:id="20"/>
            </w:r>
            <w:r w:rsidRPr="001D5207">
              <w:rPr>
                <w:color w:val="000000" w:themeColor="text1"/>
                <w:sz w:val="22"/>
                <w:szCs w:val="22"/>
              </w:rPr>
              <w:t xml:space="preserve"> įtvirtintas įpareigojančias nuostatas. </w:t>
            </w:r>
          </w:p>
          <w:p w14:paraId="5D135398" w14:textId="77777777" w:rsidR="00F7465C" w:rsidRPr="001D5207" w:rsidRDefault="00F7465C" w:rsidP="00F7465C">
            <w:pPr>
              <w:tabs>
                <w:tab w:val="left" w:pos="315"/>
              </w:tabs>
              <w:ind w:left="31"/>
              <w:jc w:val="both"/>
              <w:rPr>
                <w:color w:val="000000" w:themeColor="text1"/>
                <w:sz w:val="22"/>
                <w:szCs w:val="22"/>
              </w:rPr>
            </w:pPr>
            <w:r w:rsidRPr="001D5207">
              <w:rPr>
                <w:color w:val="000000" w:themeColor="text1"/>
                <w:sz w:val="22"/>
                <w:szCs w:val="22"/>
              </w:rPr>
              <w:t>Atsižvelgiant į numatomus socialinės globos paslaugos kokybinius reikalavimų pasikeitimus ir esamą valstybės socialinės globos įstaigų infrastruktūrą ir pastatų būklę buvo:</w:t>
            </w:r>
          </w:p>
          <w:p w14:paraId="497AE834" w14:textId="77777777" w:rsidR="00F7465C" w:rsidRPr="001D5207" w:rsidRDefault="00F7465C" w:rsidP="00F7465C">
            <w:pPr>
              <w:pStyle w:val="Sraopastraipa"/>
              <w:numPr>
                <w:ilvl w:val="0"/>
                <w:numId w:val="1"/>
              </w:numPr>
              <w:tabs>
                <w:tab w:val="left" w:pos="313"/>
              </w:tabs>
              <w:ind w:left="29" w:firstLine="0"/>
              <w:jc w:val="both"/>
              <w:rPr>
                <w:color w:val="000000" w:themeColor="text1"/>
                <w:sz w:val="22"/>
                <w:szCs w:val="22"/>
              </w:rPr>
            </w:pPr>
            <w:r w:rsidRPr="001D5207">
              <w:rPr>
                <w:b/>
                <w:bCs/>
                <w:color w:val="000000" w:themeColor="text1"/>
                <w:sz w:val="22"/>
                <w:szCs w:val="22"/>
              </w:rPr>
              <w:t>atlikta kaštų naudos analizė ir</w:t>
            </w:r>
            <w:r w:rsidRPr="001D5207">
              <w:rPr>
                <w:color w:val="000000" w:themeColor="text1"/>
                <w:sz w:val="22"/>
                <w:szCs w:val="22"/>
              </w:rPr>
              <w:t xml:space="preserve"> </w:t>
            </w:r>
            <w:r w:rsidRPr="001D5207">
              <w:rPr>
                <w:b/>
                <w:bCs/>
                <w:color w:val="000000" w:themeColor="text1"/>
                <w:sz w:val="22"/>
                <w:szCs w:val="22"/>
              </w:rPr>
              <w:t>įvertintas investicijų poreikis</w:t>
            </w:r>
            <w:r w:rsidRPr="001D5207">
              <w:rPr>
                <w:color w:val="000000" w:themeColor="text1"/>
                <w:sz w:val="22"/>
                <w:szCs w:val="22"/>
              </w:rPr>
              <w:t xml:space="preserve"> į valstybės socialinės globos įstaigų infrastruktūros objektus tolimesnės veiklos realizavimui pagal keliamus naujus kokybės reikalavimus. Tuo tikslu 2022 m. SADM inicijavo tyrimą „Valstybės socialinės globos įstaigų turimos infrastruktūros, kurioje teikiama socialinė globa, tolesnio panaudojimo perspektyvos“ (toliau – SADM tyrimas).</w:t>
            </w:r>
          </w:p>
          <w:p w14:paraId="0B2AE1A5" w14:textId="78498BD4" w:rsidR="00F7465C" w:rsidRPr="001D5207" w:rsidRDefault="00F7465C" w:rsidP="00F7465C">
            <w:pPr>
              <w:pStyle w:val="Sraopastraipa"/>
              <w:numPr>
                <w:ilvl w:val="0"/>
                <w:numId w:val="1"/>
              </w:numPr>
              <w:tabs>
                <w:tab w:val="left" w:pos="313"/>
              </w:tabs>
              <w:ind w:left="29" w:firstLine="0"/>
              <w:jc w:val="both"/>
              <w:rPr>
                <w:color w:val="000000" w:themeColor="text1"/>
                <w:sz w:val="22"/>
                <w:szCs w:val="22"/>
              </w:rPr>
            </w:pPr>
            <w:r w:rsidRPr="001D5207">
              <w:rPr>
                <w:color w:val="000000" w:themeColor="text1"/>
                <w:sz w:val="22"/>
                <w:szCs w:val="22"/>
              </w:rPr>
              <w:t xml:space="preserve"> </w:t>
            </w:r>
            <w:r w:rsidRPr="001D5207">
              <w:rPr>
                <w:b/>
                <w:bCs/>
                <w:color w:val="000000" w:themeColor="text1"/>
                <w:sz w:val="22"/>
                <w:szCs w:val="22"/>
              </w:rPr>
              <w:t>atliktos demografinės senėjimo bei socialinės globos ir slaugos vietų skaičiaus prognozės</w:t>
            </w:r>
            <w:r w:rsidRPr="001D5207">
              <w:rPr>
                <w:color w:val="000000" w:themeColor="text1"/>
                <w:sz w:val="22"/>
                <w:szCs w:val="22"/>
              </w:rPr>
              <w:t xml:space="preserve">, siekiant numatyti socialinės globos vietų skaičiaus poreikį senyvo amžiaus asmenims atskirose Lietuvos savivaldybėse. Buvo įvertintas dabartinis slaugos ir socialinės globos paslaugų išvystymo konkrečiame regione ir savivaldybėje tinklas bei jame esančių valstybės socialinės globos įstaigų potencialas. Taip pat </w:t>
            </w:r>
            <w:r w:rsidRPr="001D5207">
              <w:rPr>
                <w:color w:val="000000" w:themeColor="text1"/>
                <w:sz w:val="22"/>
                <w:szCs w:val="22"/>
              </w:rPr>
              <w:lastRenderedPageBreak/>
              <w:t>įvertintas asmenų, kuriems tikėtina bus reikalingos socialinės globos paslaugos 2030 ir 2035 metais skaičius bei atlikta 65 metų ir vyresnių asmenų demografinių prognostinių scenarijų 2030 ir 2035 metams atskirose Lietuvos savivaldybėse studija (toliau – Studija)</w:t>
            </w:r>
            <w:r w:rsidRPr="001D5207">
              <w:rPr>
                <w:rStyle w:val="Puslapioinaosnuoroda"/>
                <w:color w:val="000000" w:themeColor="text1"/>
                <w:sz w:val="22"/>
                <w:szCs w:val="22"/>
              </w:rPr>
              <w:footnoteReference w:id="21"/>
            </w:r>
            <w:r w:rsidRPr="001D5207">
              <w:rPr>
                <w:color w:val="000000" w:themeColor="text1"/>
                <w:sz w:val="22"/>
                <w:szCs w:val="22"/>
              </w:rPr>
              <w:t>.</w:t>
            </w:r>
          </w:p>
          <w:p w14:paraId="713CDECB" w14:textId="77777777" w:rsidR="001B53B0" w:rsidRPr="001D5207" w:rsidRDefault="001B53B0" w:rsidP="001D5207">
            <w:pPr>
              <w:ind w:left="34" w:right="172" w:firstLine="12"/>
              <w:jc w:val="both"/>
              <w:rPr>
                <w:color w:val="000000" w:themeColor="text1"/>
                <w:sz w:val="22"/>
                <w:szCs w:val="22"/>
              </w:rPr>
            </w:pPr>
            <w:r w:rsidRPr="001D5207">
              <w:rPr>
                <w:b/>
                <w:bCs/>
                <w:color w:val="000000" w:themeColor="text1"/>
                <w:sz w:val="22"/>
                <w:szCs w:val="22"/>
              </w:rPr>
              <w:t>Problema.</w:t>
            </w:r>
            <w:r w:rsidRPr="00F26B82">
              <w:rPr>
                <w:szCs w:val="24"/>
              </w:rPr>
              <w:t xml:space="preserve"> </w:t>
            </w:r>
            <w:r w:rsidRPr="001D5207">
              <w:rPr>
                <w:b/>
                <w:bCs/>
                <w:color w:val="000000" w:themeColor="text1"/>
                <w:sz w:val="22"/>
                <w:szCs w:val="22"/>
              </w:rPr>
              <w:t xml:space="preserve"> </w:t>
            </w:r>
            <w:r w:rsidRPr="001D5207">
              <w:rPr>
                <w:color w:val="000000" w:themeColor="text1"/>
                <w:sz w:val="22"/>
                <w:szCs w:val="22"/>
              </w:rPr>
              <w:t>Esama valstybės socialinės globos įstaigų infrastruktūra neatitinka teisės aktuose</w:t>
            </w:r>
            <w:r w:rsidRPr="001D5207">
              <w:rPr>
                <w:rStyle w:val="Puslapioinaosnuoroda"/>
                <w:color w:val="000000" w:themeColor="text1"/>
                <w:sz w:val="22"/>
                <w:szCs w:val="22"/>
              </w:rPr>
              <w:footnoteReference w:id="22"/>
            </w:r>
            <w:r w:rsidRPr="001D5207">
              <w:rPr>
                <w:color w:val="000000" w:themeColor="text1"/>
                <w:sz w:val="22"/>
                <w:szCs w:val="22"/>
              </w:rPr>
              <w:t xml:space="preserve"> įtvirtintų  naujų kokybės reikalavimų, keliamų  socialinės globos įstaigoms nuo 2035 m. sausio 1 d., užtikrinant  </w:t>
            </w:r>
          </w:p>
          <w:p w14:paraId="473C080F" w14:textId="77777777" w:rsidR="001B53B0" w:rsidRDefault="001B53B0" w:rsidP="004F30F0">
            <w:pPr>
              <w:ind w:left="34" w:right="172" w:firstLine="12"/>
              <w:jc w:val="both"/>
              <w:rPr>
                <w:color w:val="000000" w:themeColor="text1"/>
                <w:sz w:val="22"/>
                <w:szCs w:val="22"/>
              </w:rPr>
            </w:pPr>
            <w:r w:rsidRPr="001D5207">
              <w:rPr>
                <w:color w:val="000000" w:themeColor="text1"/>
                <w:sz w:val="22"/>
                <w:szCs w:val="22"/>
              </w:rPr>
              <w:t xml:space="preserve">senyvo amžiaus asmenims (tame tarpe ir sergančių Alzhaimeriu ir demencija) skirtų ilgalaikės socialinės globos vietų prieinamumą bei fizinės ir socialinės aplinkos pritaikomumą, gerinant tiek teikiamų paslaugų, tiek  šios tikslinės grupės asmenų gyvenimo kokybę. </w:t>
            </w:r>
          </w:p>
          <w:p w14:paraId="41ED7B29" w14:textId="77777777" w:rsidR="004F30F0" w:rsidRPr="001D5207" w:rsidRDefault="004F30F0" w:rsidP="001D5207">
            <w:pPr>
              <w:ind w:left="34" w:right="172" w:firstLine="12"/>
              <w:jc w:val="both"/>
              <w:rPr>
                <w:color w:val="000000" w:themeColor="text1"/>
                <w:sz w:val="22"/>
                <w:szCs w:val="22"/>
              </w:rPr>
            </w:pPr>
          </w:p>
          <w:p w14:paraId="650DFA18" w14:textId="4D6CC83D" w:rsidR="001B53B0" w:rsidRPr="001D5207" w:rsidRDefault="004F30F0" w:rsidP="004F30F0">
            <w:pPr>
              <w:ind w:left="31"/>
              <w:jc w:val="both"/>
              <w:textAlignment w:val="baseline"/>
              <w:rPr>
                <w:i/>
                <w:iCs/>
                <w:color w:val="000000" w:themeColor="text1"/>
                <w:sz w:val="22"/>
                <w:szCs w:val="22"/>
                <w:u w:val="single"/>
              </w:rPr>
            </w:pPr>
            <w:bookmarkStart w:id="4" w:name="_Hlk169612483"/>
            <w:r w:rsidRPr="001D5207">
              <w:rPr>
                <w:i/>
                <w:iCs/>
                <w:color w:val="000000" w:themeColor="text1"/>
                <w:sz w:val="22"/>
                <w:szCs w:val="22"/>
                <w:u w:val="single"/>
              </w:rPr>
              <w:t>Numatomas poveikis ir l</w:t>
            </w:r>
            <w:r w:rsidR="001B53B0" w:rsidRPr="001D5207">
              <w:rPr>
                <w:i/>
                <w:iCs/>
                <w:color w:val="000000" w:themeColor="text1"/>
                <w:sz w:val="22"/>
                <w:szCs w:val="22"/>
                <w:u w:val="single"/>
              </w:rPr>
              <w:t>aukiamas rezultatas</w:t>
            </w:r>
          </w:p>
          <w:p w14:paraId="644051F8" w14:textId="614ABB5A" w:rsidR="001B53B0" w:rsidRPr="001D5207" w:rsidRDefault="001B53B0" w:rsidP="004F30F0">
            <w:pPr>
              <w:ind w:left="31"/>
              <w:jc w:val="both"/>
              <w:textAlignment w:val="baseline"/>
              <w:rPr>
                <w:color w:val="000000" w:themeColor="text1"/>
                <w:sz w:val="22"/>
                <w:szCs w:val="22"/>
              </w:rPr>
            </w:pPr>
            <w:r w:rsidRPr="001D5207">
              <w:rPr>
                <w:color w:val="000000" w:themeColor="text1"/>
                <w:sz w:val="22"/>
                <w:szCs w:val="22"/>
              </w:rPr>
              <w:t xml:space="preserve">Sukurta modernizuota 25 valstybės socialinės globos įstaigų infrastruktūra, kurioje fizinė bei socialinė aplinka atliepia senyvo amžiaus asmenų poreikius bei naujus socialinės globos paslaugų kokybės reikalavimus, kurie keliami socialinės globos įstaigoms nuo 2035 m. sausio 1 d. </w:t>
            </w:r>
            <w:r w:rsidR="004F30F0">
              <w:rPr>
                <w:color w:val="000000" w:themeColor="text1"/>
                <w:sz w:val="22"/>
                <w:szCs w:val="22"/>
              </w:rPr>
              <w:t>Numatoma, kad įgyvendinus priemonę, b</w:t>
            </w:r>
            <w:r w:rsidRPr="001D5207">
              <w:rPr>
                <w:color w:val="000000" w:themeColor="text1"/>
                <w:sz w:val="22"/>
                <w:szCs w:val="22"/>
              </w:rPr>
              <w:t>us suteikta galimybė ne mažiau kaip 2736 senyvo amžiaus asmenims gauti kokybišką ir tinkamą ilgalaikę socialinę globą valstybės socialinės globos namuose, (iš jų – 1178 naujiems senyvo amžiaus asmenims iš bendruomenės).</w:t>
            </w:r>
            <w:bookmarkEnd w:id="4"/>
            <w:r w:rsidRPr="001D5207">
              <w:rPr>
                <w:color w:val="000000" w:themeColor="text1"/>
                <w:sz w:val="22"/>
                <w:szCs w:val="22"/>
              </w:rPr>
              <w:t xml:space="preserve"> </w:t>
            </w:r>
          </w:p>
          <w:p w14:paraId="12957C7A" w14:textId="77777777" w:rsidR="001B53B0" w:rsidRPr="001D5207" w:rsidRDefault="001B53B0" w:rsidP="001D5207">
            <w:pPr>
              <w:jc w:val="both"/>
              <w:rPr>
                <w:color w:val="000000" w:themeColor="text1"/>
                <w:sz w:val="22"/>
                <w:szCs w:val="22"/>
              </w:rPr>
            </w:pPr>
            <w:r w:rsidRPr="001D5207">
              <w:rPr>
                <w:b/>
                <w:bCs/>
                <w:color w:val="000000" w:themeColor="text1"/>
                <w:sz w:val="22"/>
                <w:szCs w:val="22"/>
              </w:rPr>
              <w:t>Senyvo amžiaus asmenims pritaikyta fizinė bei socialinė aplinka įgyvendina šiuos, su asmens sveikata ir gerove susijusius aspektus</w:t>
            </w:r>
            <w:r w:rsidRPr="001D5207">
              <w:rPr>
                <w:rStyle w:val="Puslapioinaosnuoroda"/>
                <w:color w:val="000000" w:themeColor="text1"/>
                <w:sz w:val="22"/>
                <w:szCs w:val="22"/>
              </w:rPr>
              <w:footnoteReference w:id="23"/>
            </w:r>
            <w:r w:rsidRPr="001D5207">
              <w:rPr>
                <w:color w:val="000000" w:themeColor="text1"/>
                <w:sz w:val="22"/>
                <w:szCs w:val="22"/>
              </w:rPr>
              <w:t>:</w:t>
            </w:r>
          </w:p>
          <w:p w14:paraId="0BD4FE95" w14:textId="77777777" w:rsidR="001B53B0" w:rsidRPr="001D5207" w:rsidRDefault="001B53B0" w:rsidP="004F30F0">
            <w:pPr>
              <w:numPr>
                <w:ilvl w:val="0"/>
                <w:numId w:val="1"/>
              </w:numPr>
              <w:tabs>
                <w:tab w:val="left" w:pos="171"/>
              </w:tabs>
              <w:ind w:left="29" w:firstLine="0"/>
              <w:jc w:val="both"/>
              <w:rPr>
                <w:color w:val="000000" w:themeColor="text1"/>
                <w:sz w:val="22"/>
                <w:szCs w:val="22"/>
              </w:rPr>
            </w:pPr>
            <w:r w:rsidRPr="001D5207">
              <w:rPr>
                <w:color w:val="000000" w:themeColor="text1"/>
                <w:sz w:val="22"/>
                <w:szCs w:val="22"/>
              </w:rPr>
              <w:t xml:space="preserve">Mažina rizikas sveikatai. Senyvo amžiaus asmenims reikalinga saugi aplinka, kurioje lengva judėti tiek pastatų viduje, tiek išorėje. Tokioje aplinkoje: laipteliai turi būti pašalinti, užtikrintas daiktų ir nuorodų matomumas, aplinkoje veikia orientavimosi sistema ir pan. </w:t>
            </w:r>
          </w:p>
          <w:p w14:paraId="05375EB1" w14:textId="77777777" w:rsidR="001B53B0" w:rsidRPr="001D5207" w:rsidRDefault="001B53B0" w:rsidP="001B53B0">
            <w:pPr>
              <w:numPr>
                <w:ilvl w:val="0"/>
                <w:numId w:val="1"/>
              </w:numPr>
              <w:tabs>
                <w:tab w:val="left" w:pos="171"/>
              </w:tabs>
              <w:ind w:left="29" w:firstLine="0"/>
              <w:jc w:val="both"/>
              <w:rPr>
                <w:color w:val="000000" w:themeColor="text1"/>
                <w:sz w:val="22"/>
                <w:szCs w:val="22"/>
              </w:rPr>
            </w:pPr>
            <w:r w:rsidRPr="001D5207">
              <w:rPr>
                <w:color w:val="000000" w:themeColor="text1"/>
                <w:sz w:val="22"/>
                <w:szCs w:val="22"/>
              </w:rPr>
              <w:t xml:space="preserve">Skatina bendravimą ir sudaro galimybes judėti. Fizinis aktyvumas, galimybė judėti gali padidinti įsitraukimą, bendravimą ir palaikyti žmogaus sveikatą bei gerovę. Judėjimui svarbios erdvės, kuriose nėra kliūčių ir sudėtingų sprendimų tiek pastatų viduje, tiek išorėje. </w:t>
            </w:r>
          </w:p>
          <w:p w14:paraId="3838677F" w14:textId="3618C9F2" w:rsidR="001B53B0" w:rsidRPr="001D5207" w:rsidRDefault="001B53B0" w:rsidP="001B53B0">
            <w:pPr>
              <w:numPr>
                <w:ilvl w:val="0"/>
                <w:numId w:val="1"/>
              </w:numPr>
              <w:tabs>
                <w:tab w:val="left" w:pos="171"/>
              </w:tabs>
              <w:ind w:left="29" w:firstLine="0"/>
              <w:jc w:val="both"/>
              <w:rPr>
                <w:color w:val="000000" w:themeColor="text1"/>
                <w:sz w:val="22"/>
                <w:szCs w:val="22"/>
              </w:rPr>
            </w:pPr>
            <w:r w:rsidRPr="001D5207">
              <w:rPr>
                <w:color w:val="000000" w:themeColor="text1"/>
                <w:sz w:val="22"/>
                <w:szCs w:val="22"/>
              </w:rPr>
              <w:t xml:space="preserve">Suteikia galimybę pasirinkti: ar būti vienam, ar būti bei leisti laiką su kitais žmonėmis. Tam reikalinga turėti skirtingos paskirties patalpų </w:t>
            </w:r>
            <w:r w:rsidR="004F30F0">
              <w:rPr>
                <w:color w:val="000000" w:themeColor="text1"/>
                <w:sz w:val="22"/>
                <w:szCs w:val="22"/>
              </w:rPr>
              <w:t>–</w:t>
            </w:r>
            <w:r w:rsidRPr="001D5207">
              <w:rPr>
                <w:color w:val="000000" w:themeColor="text1"/>
                <w:sz w:val="22"/>
                <w:szCs w:val="22"/>
              </w:rPr>
              <w:t xml:space="preserve"> ramiam pokalbiui, veiklai grupėje ir pan. </w:t>
            </w:r>
          </w:p>
          <w:p w14:paraId="45D48565" w14:textId="77777777" w:rsidR="006748C3" w:rsidRPr="001D5207" w:rsidRDefault="006748C3" w:rsidP="00F25DD1">
            <w:pPr>
              <w:tabs>
                <w:tab w:val="left" w:pos="171"/>
              </w:tabs>
              <w:ind w:left="29"/>
              <w:jc w:val="both"/>
              <w:rPr>
                <w:color w:val="000000" w:themeColor="text1"/>
                <w:sz w:val="22"/>
                <w:szCs w:val="22"/>
              </w:rPr>
            </w:pPr>
          </w:p>
          <w:tbl>
            <w:tblPr>
              <w:tblStyle w:val="Lentelstinklelis"/>
              <w:tblW w:w="9530" w:type="dxa"/>
              <w:tblInd w:w="0" w:type="dxa"/>
              <w:tblLook w:val="04A0" w:firstRow="1" w:lastRow="0" w:firstColumn="1" w:lastColumn="0" w:noHBand="0" w:noVBand="1"/>
            </w:tblPr>
            <w:tblGrid>
              <w:gridCol w:w="5695"/>
              <w:gridCol w:w="1947"/>
              <w:gridCol w:w="1888"/>
            </w:tblGrid>
            <w:tr w:rsidR="001B53B0" w:rsidRPr="00067A3F" w14:paraId="2F006B0C" w14:textId="77777777" w:rsidTr="00067A3F">
              <w:trPr>
                <w:trHeight w:val="344"/>
              </w:trPr>
              <w:tc>
                <w:tcPr>
                  <w:tcW w:w="569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1BC95D0" w14:textId="7008090D" w:rsidR="001B53B0" w:rsidRPr="00067A3F" w:rsidRDefault="001B53B0" w:rsidP="001B53B0">
                  <w:pPr>
                    <w:jc w:val="both"/>
                    <w:rPr>
                      <w:rFonts w:ascii="Times New Roman" w:eastAsia="Times New Roman" w:hAnsi="Times New Roman" w:cs="Times New Roman"/>
                      <w:b/>
                      <w:bCs/>
                      <w:color w:val="000000" w:themeColor="text1"/>
                    </w:rPr>
                  </w:pPr>
                  <w:r w:rsidRPr="00067A3F">
                    <w:rPr>
                      <w:rFonts w:ascii="Times New Roman" w:hAnsi="Times New Roman" w:cs="Times New Roman"/>
                      <w:b/>
                      <w:bCs/>
                      <w:color w:val="000000" w:themeColor="text1"/>
                    </w:rPr>
                    <w:t xml:space="preserve">Priemonės </w:t>
                  </w:r>
                  <w:r w:rsidR="0045394F" w:rsidRPr="00067A3F">
                    <w:rPr>
                      <w:rFonts w:ascii="Times New Roman" w:eastAsia="Times New Roman" w:hAnsi="Times New Roman" w:cs="Times New Roman"/>
                      <w:b/>
                      <w:bCs/>
                      <w:color w:val="000000" w:themeColor="text1"/>
                    </w:rPr>
                    <w:t xml:space="preserve">rezultato </w:t>
                  </w:r>
                  <w:r w:rsidRPr="00067A3F">
                    <w:rPr>
                      <w:rFonts w:ascii="Times New Roman" w:hAnsi="Times New Roman" w:cs="Times New Roman"/>
                      <w:b/>
                      <w:bCs/>
                      <w:color w:val="000000" w:themeColor="text1"/>
                    </w:rPr>
                    <w:t>rodikli</w:t>
                  </w:r>
                  <w:r w:rsidR="0045394F" w:rsidRPr="00067A3F">
                    <w:rPr>
                      <w:rFonts w:ascii="Times New Roman" w:eastAsia="Times New Roman" w:hAnsi="Times New Roman" w:cs="Times New Roman"/>
                      <w:b/>
                      <w:bCs/>
                      <w:color w:val="000000" w:themeColor="text1"/>
                    </w:rPr>
                    <w:t>s</w:t>
                  </w:r>
                </w:p>
              </w:tc>
              <w:tc>
                <w:tcPr>
                  <w:tcW w:w="194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ACC0D87" w14:textId="77777777" w:rsidR="001B53B0" w:rsidRPr="00067A3F" w:rsidRDefault="001B53B0" w:rsidP="001B53B0">
                  <w:pPr>
                    <w:tabs>
                      <w:tab w:val="left" w:pos="598"/>
                    </w:tabs>
                    <w:jc w:val="both"/>
                    <w:rPr>
                      <w:rFonts w:ascii="Times New Roman" w:eastAsia="Times New Roman" w:hAnsi="Times New Roman" w:cs="Times New Roman"/>
                      <w:b/>
                      <w:bCs/>
                      <w:color w:val="000000" w:themeColor="text1"/>
                    </w:rPr>
                  </w:pPr>
                  <w:r w:rsidRPr="00067A3F">
                    <w:rPr>
                      <w:rFonts w:ascii="Times New Roman" w:hAnsi="Times New Roman" w:cs="Times New Roman"/>
                      <w:b/>
                      <w:bCs/>
                      <w:color w:val="000000" w:themeColor="text1"/>
                    </w:rPr>
                    <w:t xml:space="preserve">Dabartinė situacija </w:t>
                  </w:r>
                </w:p>
              </w:tc>
              <w:tc>
                <w:tcPr>
                  <w:tcW w:w="18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12FBA06" w14:textId="77777777" w:rsidR="001B53B0" w:rsidRPr="00067A3F" w:rsidRDefault="001B53B0" w:rsidP="001B53B0">
                  <w:pPr>
                    <w:tabs>
                      <w:tab w:val="left" w:pos="598"/>
                    </w:tabs>
                    <w:jc w:val="both"/>
                    <w:rPr>
                      <w:rFonts w:ascii="Times New Roman" w:eastAsia="Times New Roman" w:hAnsi="Times New Roman" w:cs="Times New Roman"/>
                      <w:b/>
                      <w:bCs/>
                      <w:color w:val="000000" w:themeColor="text1"/>
                    </w:rPr>
                  </w:pPr>
                  <w:r w:rsidRPr="00067A3F">
                    <w:rPr>
                      <w:rFonts w:ascii="Times New Roman" w:hAnsi="Times New Roman" w:cs="Times New Roman"/>
                      <w:b/>
                      <w:bCs/>
                      <w:color w:val="000000" w:themeColor="text1"/>
                    </w:rPr>
                    <w:t xml:space="preserve">Siekiamas pokytis </w:t>
                  </w:r>
                </w:p>
              </w:tc>
            </w:tr>
            <w:tr w:rsidR="001B53B0" w:rsidRPr="00067A3F" w14:paraId="0C3A1AA3" w14:textId="77777777" w:rsidTr="00026A11">
              <w:trPr>
                <w:trHeight w:val="436"/>
              </w:trPr>
              <w:tc>
                <w:tcPr>
                  <w:tcW w:w="5695" w:type="dxa"/>
                  <w:tcBorders>
                    <w:top w:val="single" w:sz="4" w:space="0" w:color="auto"/>
                    <w:left w:val="single" w:sz="4" w:space="0" w:color="auto"/>
                    <w:bottom w:val="single" w:sz="4" w:space="0" w:color="auto"/>
                    <w:right w:val="single" w:sz="4" w:space="0" w:color="auto"/>
                  </w:tcBorders>
                  <w:hideMark/>
                </w:tcPr>
                <w:p w14:paraId="3E17704B" w14:textId="77777777" w:rsidR="001B53B0" w:rsidRPr="00067A3F" w:rsidRDefault="001B53B0" w:rsidP="001B53B0">
                  <w:pPr>
                    <w:jc w:val="both"/>
                    <w:rPr>
                      <w:rFonts w:ascii="Times New Roman" w:eastAsia="Times New Roman" w:hAnsi="Times New Roman" w:cs="Times New Roman"/>
                      <w:color w:val="000000" w:themeColor="text1"/>
                    </w:rPr>
                  </w:pPr>
                  <w:bookmarkStart w:id="5" w:name="_Hlk119953007"/>
                  <w:r w:rsidRPr="00067A3F">
                    <w:rPr>
                      <w:rFonts w:ascii="Times New Roman" w:hAnsi="Times New Roman" w:cs="Times New Roman"/>
                      <w:color w:val="000000" w:themeColor="text1"/>
                    </w:rPr>
                    <w:t>Senyvo amžiaus asmenų, gavusių socialines paslaugas naujoje ar modernizuotoje infrastruktūroje, skaičius per metus</w:t>
                  </w:r>
                  <w:bookmarkEnd w:id="5"/>
                </w:p>
                <w:p w14:paraId="243BCB48" w14:textId="77777777" w:rsidR="001B53B0" w:rsidRPr="00067A3F" w:rsidRDefault="001B53B0" w:rsidP="001B53B0">
                  <w:pPr>
                    <w:jc w:val="both"/>
                    <w:rPr>
                      <w:rFonts w:ascii="Times New Roman" w:eastAsia="Times New Roman" w:hAnsi="Times New Roman" w:cs="Times New Roman"/>
                      <w:color w:val="000000" w:themeColor="text1"/>
                    </w:rPr>
                  </w:pPr>
                </w:p>
              </w:tc>
              <w:tc>
                <w:tcPr>
                  <w:tcW w:w="1947" w:type="dxa"/>
                  <w:tcBorders>
                    <w:top w:val="single" w:sz="4" w:space="0" w:color="auto"/>
                    <w:left w:val="single" w:sz="4" w:space="0" w:color="auto"/>
                    <w:bottom w:val="single" w:sz="4" w:space="0" w:color="auto"/>
                    <w:right w:val="single" w:sz="4" w:space="0" w:color="auto"/>
                  </w:tcBorders>
                  <w:hideMark/>
                </w:tcPr>
                <w:p w14:paraId="01904507" w14:textId="77777777" w:rsidR="001B53B0" w:rsidRPr="00067A3F" w:rsidRDefault="001B53B0" w:rsidP="001B53B0">
                  <w:pPr>
                    <w:tabs>
                      <w:tab w:val="left" w:pos="598"/>
                    </w:tabs>
                    <w:jc w:val="both"/>
                    <w:rPr>
                      <w:rFonts w:ascii="Times New Roman" w:eastAsia="Times New Roman" w:hAnsi="Times New Roman" w:cs="Times New Roman"/>
                      <w:color w:val="000000" w:themeColor="text1"/>
                    </w:rPr>
                  </w:pPr>
                  <w:r w:rsidRPr="00067A3F">
                    <w:rPr>
                      <w:rFonts w:ascii="Times New Roman" w:hAnsi="Times New Roman" w:cs="Times New Roman"/>
                      <w:color w:val="000000" w:themeColor="text1"/>
                    </w:rPr>
                    <w:t>0 (2021 m.)</w:t>
                  </w:r>
                </w:p>
              </w:tc>
              <w:tc>
                <w:tcPr>
                  <w:tcW w:w="1888" w:type="dxa"/>
                  <w:tcBorders>
                    <w:top w:val="single" w:sz="4" w:space="0" w:color="auto"/>
                    <w:left w:val="single" w:sz="4" w:space="0" w:color="auto"/>
                    <w:bottom w:val="single" w:sz="4" w:space="0" w:color="auto"/>
                    <w:right w:val="single" w:sz="4" w:space="0" w:color="auto"/>
                  </w:tcBorders>
                  <w:hideMark/>
                </w:tcPr>
                <w:p w14:paraId="16B4DA63" w14:textId="63EB7873" w:rsidR="001B53B0" w:rsidRPr="00067A3F" w:rsidRDefault="001B53B0" w:rsidP="001B53B0">
                  <w:pPr>
                    <w:tabs>
                      <w:tab w:val="left" w:pos="598"/>
                    </w:tabs>
                    <w:jc w:val="both"/>
                    <w:rPr>
                      <w:rFonts w:ascii="Times New Roman" w:eastAsia="Times New Roman" w:hAnsi="Times New Roman" w:cs="Times New Roman"/>
                      <w:color w:val="000000" w:themeColor="text1"/>
                    </w:rPr>
                  </w:pPr>
                  <w:r w:rsidRPr="00067A3F">
                    <w:rPr>
                      <w:rFonts w:ascii="Times New Roman" w:hAnsi="Times New Roman" w:cs="Times New Roman"/>
                      <w:color w:val="000000" w:themeColor="text1"/>
                    </w:rPr>
                    <w:t>2736 (20</w:t>
                  </w:r>
                  <w:r w:rsidR="00815093" w:rsidRPr="00067A3F">
                    <w:rPr>
                      <w:rFonts w:ascii="Times New Roman" w:hAnsi="Times New Roman" w:cs="Times New Roman"/>
                      <w:color w:val="000000" w:themeColor="text1"/>
                    </w:rPr>
                    <w:t>30</w:t>
                  </w:r>
                  <w:r w:rsidRPr="00067A3F">
                    <w:rPr>
                      <w:rFonts w:ascii="Times New Roman" w:hAnsi="Times New Roman" w:cs="Times New Roman"/>
                      <w:color w:val="000000" w:themeColor="text1"/>
                    </w:rPr>
                    <w:t xml:space="preserve"> m.)</w:t>
                  </w:r>
                </w:p>
                <w:p w14:paraId="332ACE53" w14:textId="55CC8B5F" w:rsidR="001B53B0" w:rsidRPr="00067A3F" w:rsidRDefault="001B53B0" w:rsidP="001B53B0">
                  <w:pPr>
                    <w:tabs>
                      <w:tab w:val="left" w:pos="598"/>
                    </w:tabs>
                    <w:jc w:val="both"/>
                    <w:rPr>
                      <w:rFonts w:ascii="Times New Roman" w:eastAsia="Times New Roman" w:hAnsi="Times New Roman" w:cs="Times New Roman"/>
                      <w:color w:val="000000" w:themeColor="text1"/>
                    </w:rPr>
                  </w:pPr>
                </w:p>
              </w:tc>
            </w:tr>
          </w:tbl>
          <w:p w14:paraId="38864771" w14:textId="77777777" w:rsidR="001B53B0" w:rsidRPr="00067A3F" w:rsidRDefault="001B53B0" w:rsidP="001B53B0">
            <w:pPr>
              <w:tabs>
                <w:tab w:val="left" w:pos="313"/>
              </w:tabs>
              <w:ind w:left="29"/>
              <w:jc w:val="both"/>
              <w:rPr>
                <w:color w:val="000000" w:themeColor="text1"/>
                <w:sz w:val="22"/>
                <w:szCs w:val="22"/>
              </w:rPr>
            </w:pPr>
          </w:p>
          <w:p w14:paraId="1F9B0FAE" w14:textId="57B45698" w:rsidR="00E624F3" w:rsidRPr="00F26B82" w:rsidRDefault="00E624F3" w:rsidP="00E624F3">
            <w:pPr>
              <w:tabs>
                <w:tab w:val="left" w:pos="598"/>
              </w:tabs>
              <w:ind w:firstLine="567"/>
              <w:jc w:val="both"/>
              <w:rPr>
                <w:szCs w:val="24"/>
                <w:lang w:eastAsia="lt-LT"/>
              </w:rPr>
            </w:pPr>
          </w:p>
        </w:tc>
      </w:tr>
    </w:tbl>
    <w:p w14:paraId="383606CC" w14:textId="77777777" w:rsidR="00E44DC8" w:rsidRPr="00F26B82" w:rsidRDefault="00E44DC8">
      <w:pPr>
        <w:ind w:firstLine="992"/>
        <w:jc w:val="both"/>
        <w:rPr>
          <w:b/>
          <w:bCs/>
          <w:sz w:val="20"/>
        </w:rPr>
      </w:pPr>
    </w:p>
    <w:p w14:paraId="450D2C29" w14:textId="77777777" w:rsidR="00E44DC8" w:rsidRPr="00F26B82" w:rsidRDefault="005C645F">
      <w:pPr>
        <w:jc w:val="center"/>
        <w:rPr>
          <w:b/>
          <w:bCs/>
        </w:rPr>
      </w:pPr>
      <w:r w:rsidRPr="00F26B82">
        <w:rPr>
          <w:b/>
          <w:bCs/>
        </w:rPr>
        <w:t>III SKYRIUS</w:t>
      </w:r>
    </w:p>
    <w:p w14:paraId="2563E7EE" w14:textId="77777777" w:rsidR="00E44DC8" w:rsidRPr="00F26B82" w:rsidRDefault="005C645F">
      <w:pPr>
        <w:jc w:val="center"/>
        <w:rPr>
          <w:b/>
          <w:bCs/>
        </w:rPr>
      </w:pPr>
      <w:r w:rsidRPr="00F26B82">
        <w:rPr>
          <w:b/>
          <w:bCs/>
        </w:rPr>
        <w:t>ALTERNATYVŲ ANALIZĖ</w:t>
      </w:r>
    </w:p>
    <w:p w14:paraId="04C5506F" w14:textId="77777777" w:rsidR="00E44DC8" w:rsidRPr="00F26B82" w:rsidRDefault="00E44DC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44DC8" w:rsidRPr="00F26B82" w14:paraId="36A27C91" w14:textId="77777777">
        <w:tc>
          <w:tcPr>
            <w:tcW w:w="9818" w:type="dxa"/>
            <w:shd w:val="clear" w:color="auto" w:fill="DBE5F1" w:themeFill="accent1" w:themeFillTint="33"/>
          </w:tcPr>
          <w:p w14:paraId="20AB63EE" w14:textId="77777777" w:rsidR="00E44DC8" w:rsidRPr="00F26B82" w:rsidRDefault="005C645F">
            <w:pPr>
              <w:tabs>
                <w:tab w:val="left" w:pos="598"/>
              </w:tabs>
              <w:jc w:val="center"/>
              <w:rPr>
                <w:b/>
                <w:szCs w:val="24"/>
              </w:rPr>
            </w:pPr>
            <w:r w:rsidRPr="00F26B82">
              <w:rPr>
                <w:b/>
                <w:szCs w:val="24"/>
              </w:rPr>
              <w:t>PIRMASIS SKIRSNIS</w:t>
            </w:r>
          </w:p>
          <w:p w14:paraId="6A255E60" w14:textId="77777777" w:rsidR="00E44DC8" w:rsidRPr="00F26B82" w:rsidRDefault="005C645F">
            <w:pPr>
              <w:tabs>
                <w:tab w:val="left" w:pos="598"/>
              </w:tabs>
              <w:jc w:val="center"/>
              <w:rPr>
                <w:color w:val="808080"/>
                <w:sz w:val="20"/>
              </w:rPr>
            </w:pPr>
            <w:r w:rsidRPr="00F26B82">
              <w:rPr>
                <w:b/>
                <w:szCs w:val="24"/>
              </w:rPr>
              <w:t>PLĖTROS PROGRAMOS PAŽANGOS PRIEMONĖS ALTERNATYVOS</w:t>
            </w:r>
          </w:p>
        </w:tc>
      </w:tr>
      <w:tr w:rsidR="00E44DC8" w:rsidRPr="00F26B82" w14:paraId="6A7FD447" w14:textId="77777777">
        <w:tc>
          <w:tcPr>
            <w:tcW w:w="9818" w:type="dxa"/>
            <w:shd w:val="clear" w:color="auto" w:fill="auto"/>
          </w:tcPr>
          <w:p w14:paraId="0340E802" w14:textId="77777777" w:rsidR="006748C3" w:rsidRPr="001D5207" w:rsidRDefault="006748C3" w:rsidP="006748C3">
            <w:pPr>
              <w:tabs>
                <w:tab w:val="left" w:pos="315"/>
              </w:tabs>
              <w:ind w:left="31"/>
              <w:jc w:val="both"/>
              <w:rPr>
                <w:color w:val="000000" w:themeColor="text1"/>
                <w:sz w:val="22"/>
                <w:szCs w:val="22"/>
              </w:rPr>
            </w:pPr>
            <w:r w:rsidRPr="001D5207">
              <w:rPr>
                <w:color w:val="000000" w:themeColor="text1"/>
                <w:sz w:val="22"/>
                <w:szCs w:val="22"/>
              </w:rPr>
              <w:t>Atsižvelgiant į numatomus socialinės globos paslaugos kokybinius reikalavimų pasikeitimus ir esamą valstybės socialinės globos įstaigų infrastruktūrą ir pastatų būklę buvo:</w:t>
            </w:r>
          </w:p>
          <w:p w14:paraId="6C113F6F" w14:textId="77777777" w:rsidR="006748C3" w:rsidRPr="001D5207" w:rsidRDefault="006748C3" w:rsidP="006748C3">
            <w:pPr>
              <w:pStyle w:val="Sraopastraipa"/>
              <w:numPr>
                <w:ilvl w:val="0"/>
                <w:numId w:val="1"/>
              </w:numPr>
              <w:tabs>
                <w:tab w:val="left" w:pos="313"/>
              </w:tabs>
              <w:ind w:left="29" w:firstLine="0"/>
              <w:jc w:val="both"/>
              <w:rPr>
                <w:color w:val="000000" w:themeColor="text1"/>
                <w:sz w:val="22"/>
                <w:szCs w:val="22"/>
              </w:rPr>
            </w:pPr>
            <w:r w:rsidRPr="001D5207">
              <w:rPr>
                <w:b/>
                <w:bCs/>
                <w:color w:val="000000" w:themeColor="text1"/>
                <w:sz w:val="22"/>
                <w:szCs w:val="22"/>
              </w:rPr>
              <w:t>atlikta kaštų naudos analizė ir</w:t>
            </w:r>
            <w:r w:rsidRPr="001D5207">
              <w:rPr>
                <w:color w:val="000000" w:themeColor="text1"/>
                <w:sz w:val="22"/>
                <w:szCs w:val="22"/>
              </w:rPr>
              <w:t xml:space="preserve"> </w:t>
            </w:r>
            <w:r w:rsidRPr="001D5207">
              <w:rPr>
                <w:b/>
                <w:bCs/>
                <w:color w:val="000000" w:themeColor="text1"/>
                <w:sz w:val="22"/>
                <w:szCs w:val="22"/>
              </w:rPr>
              <w:t>įvertintas investicijų poreikis</w:t>
            </w:r>
            <w:r w:rsidRPr="001D5207">
              <w:rPr>
                <w:color w:val="000000" w:themeColor="text1"/>
                <w:sz w:val="22"/>
                <w:szCs w:val="22"/>
              </w:rPr>
              <w:t xml:space="preserve"> į valstybės socialinės globos įstaigų infrastruktūros objektus tolimesnės veiklos realizavimui pagal keliamus naujus kokybės reikalavimus. Tuo tikslu 2022 m. SADM inicijavo tyrimą „Valstybės socialinės globos įstaigų turimos infrastruktūros, kurioje teikiama socialinė globa, tolesnio panaudojimo perspektyvos“ (toliau – SADM tyrimas).</w:t>
            </w:r>
          </w:p>
          <w:p w14:paraId="6CBB73B2" w14:textId="77777777" w:rsidR="006748C3" w:rsidRPr="001D5207" w:rsidRDefault="006748C3" w:rsidP="006748C3">
            <w:pPr>
              <w:pStyle w:val="Sraopastraipa"/>
              <w:numPr>
                <w:ilvl w:val="0"/>
                <w:numId w:val="1"/>
              </w:numPr>
              <w:tabs>
                <w:tab w:val="left" w:pos="313"/>
              </w:tabs>
              <w:ind w:left="29" w:firstLine="0"/>
              <w:jc w:val="both"/>
              <w:rPr>
                <w:color w:val="000000" w:themeColor="text1"/>
                <w:sz w:val="22"/>
                <w:szCs w:val="22"/>
              </w:rPr>
            </w:pPr>
            <w:r w:rsidRPr="001D5207">
              <w:rPr>
                <w:color w:val="000000" w:themeColor="text1"/>
                <w:sz w:val="22"/>
                <w:szCs w:val="22"/>
              </w:rPr>
              <w:t xml:space="preserve"> </w:t>
            </w:r>
            <w:r w:rsidRPr="001D5207">
              <w:rPr>
                <w:b/>
                <w:bCs/>
                <w:color w:val="000000" w:themeColor="text1"/>
                <w:sz w:val="22"/>
                <w:szCs w:val="22"/>
              </w:rPr>
              <w:t>atliktos demografinės senėjimo bei socialinės globos ir slaugos vietų skaičiaus prognozės</w:t>
            </w:r>
            <w:r w:rsidRPr="001D5207">
              <w:rPr>
                <w:color w:val="000000" w:themeColor="text1"/>
                <w:sz w:val="22"/>
                <w:szCs w:val="22"/>
              </w:rPr>
              <w:t xml:space="preserve">, siekiant numatyti socialinės globos vietų skaičiaus poreikį senyvo amžiaus asmenims atskirose Lietuvos savivaldybėse. Buvo įvertintas dabartinis slaugos ir socialinės globos paslaugų išvystymo konkrečiame regione ir savivaldybėje tinklas bei jame esančių valstybės socialinės globos įstaigų potencialas. Taip pat </w:t>
            </w:r>
            <w:r w:rsidRPr="001D5207">
              <w:rPr>
                <w:color w:val="000000" w:themeColor="text1"/>
                <w:sz w:val="22"/>
                <w:szCs w:val="22"/>
              </w:rPr>
              <w:lastRenderedPageBreak/>
              <w:t>įvertintas asmenų, kuriems tikėtina bus reikalingos socialinės globos paslaugos 2030 ir 2035 metais skaičius bei atlikta 65 metų ir vyresnių asmenų demografinių prognostinių scenarijų 2030 ir 2035 metams atskirose Lietuvos savivaldybėse studija (toliau – Studija)</w:t>
            </w:r>
            <w:r w:rsidRPr="001D5207">
              <w:rPr>
                <w:rStyle w:val="Puslapioinaosnuoroda"/>
                <w:color w:val="000000" w:themeColor="text1"/>
                <w:sz w:val="22"/>
                <w:szCs w:val="22"/>
              </w:rPr>
              <w:footnoteReference w:id="24"/>
            </w:r>
            <w:r w:rsidRPr="001D5207">
              <w:rPr>
                <w:color w:val="000000" w:themeColor="text1"/>
                <w:sz w:val="22"/>
                <w:szCs w:val="22"/>
              </w:rPr>
              <w:t>.</w:t>
            </w:r>
          </w:p>
          <w:p w14:paraId="6E52537F" w14:textId="77777777" w:rsidR="006748C3" w:rsidRPr="001D5207" w:rsidRDefault="006748C3" w:rsidP="006748C3">
            <w:pPr>
              <w:pStyle w:val="Komentarotekstas"/>
              <w:spacing w:after="0"/>
              <w:jc w:val="both"/>
              <w:rPr>
                <w:rFonts w:ascii="Times New Roman" w:hAnsi="Times New Roman" w:cs="Times New Roman"/>
                <w:color w:val="000000" w:themeColor="text1"/>
                <w:sz w:val="22"/>
                <w:szCs w:val="22"/>
                <w:lang w:val="lt-LT"/>
              </w:rPr>
            </w:pPr>
            <w:r w:rsidRPr="001D5207">
              <w:rPr>
                <w:rFonts w:ascii="Times New Roman" w:hAnsi="Times New Roman" w:cs="Times New Roman"/>
                <w:b/>
                <w:bCs/>
                <w:color w:val="000000" w:themeColor="text1"/>
                <w:sz w:val="22"/>
                <w:szCs w:val="22"/>
                <w:lang w:val="lt-LT"/>
              </w:rPr>
              <w:t>Vadovaujantis SADM tyrimo bei atliktos Studijos rezultatais buvo išskirti 6 kriterijai, kuriais vadovaujantis buvo (ne)atrinktos valstybės socialinės globos įstaigų infrastruktūros modernizavimui</w:t>
            </w:r>
            <w:r w:rsidRPr="001D5207">
              <w:rPr>
                <w:rFonts w:ascii="Times New Roman" w:hAnsi="Times New Roman" w:cs="Times New Roman"/>
                <w:color w:val="000000" w:themeColor="text1"/>
                <w:sz w:val="22"/>
                <w:szCs w:val="22"/>
                <w:lang w:val="lt-LT"/>
              </w:rPr>
              <w:t xml:space="preserve"> (į atrinktų modernizuoti valstybės socialinių globos įstaigų sąrašą neįtraukta 6 valstybės socialinės globos įstaigų infrastruktūra):</w:t>
            </w:r>
          </w:p>
          <w:p w14:paraId="675A1543" w14:textId="77777777" w:rsidR="006748C3" w:rsidRPr="001D5207" w:rsidRDefault="006748C3" w:rsidP="006748C3">
            <w:pPr>
              <w:pStyle w:val="Sraopastraipa"/>
              <w:numPr>
                <w:ilvl w:val="0"/>
                <w:numId w:val="1"/>
              </w:numPr>
              <w:tabs>
                <w:tab w:val="left" w:pos="173"/>
              </w:tabs>
              <w:ind w:left="171" w:right="11" w:hanging="171"/>
              <w:jc w:val="both"/>
              <w:rPr>
                <w:color w:val="000000" w:themeColor="text1"/>
                <w:sz w:val="22"/>
                <w:szCs w:val="22"/>
              </w:rPr>
            </w:pPr>
            <w:r w:rsidRPr="001D5207">
              <w:rPr>
                <w:b/>
                <w:bCs/>
                <w:color w:val="000000" w:themeColor="text1"/>
                <w:sz w:val="22"/>
                <w:szCs w:val="22"/>
              </w:rPr>
              <w:t>Kultūros paveldo pastatai</w:t>
            </w:r>
            <w:r w:rsidRPr="001D5207">
              <w:rPr>
                <w:color w:val="000000" w:themeColor="text1"/>
                <w:sz w:val="22"/>
                <w:szCs w:val="22"/>
              </w:rPr>
              <w:t xml:space="preserve">, kurių remonto ir pritaikomumo klausimas yra iš esmės kritinis. Atsižvelgiant į SADM tyrimo rezultatus, konstatuotina, kad  norint tiksliau įvertinti  kultūros paveldo objektų pritaikomumą pagal naujus kokybės reikalavimus, keliamus socialinės globos įstaigoms nuo 2035 m. sausio 1 d. reikalinga parengti pastatų techninius projektus, kuomet būtų tiksliai nurodomi galimi būsimi rekonstrukcijos darbai ir tam reikalingos išlaidos. </w:t>
            </w:r>
          </w:p>
          <w:p w14:paraId="05EE9B5D" w14:textId="77777777" w:rsidR="006748C3" w:rsidRPr="001D5207" w:rsidRDefault="006748C3" w:rsidP="006748C3">
            <w:pPr>
              <w:pStyle w:val="Sraopastraipa"/>
              <w:numPr>
                <w:ilvl w:val="0"/>
                <w:numId w:val="1"/>
              </w:numPr>
              <w:tabs>
                <w:tab w:val="left" w:pos="173"/>
              </w:tabs>
              <w:ind w:left="171" w:right="11" w:hanging="171"/>
              <w:rPr>
                <w:color w:val="000000" w:themeColor="text1"/>
                <w:sz w:val="22"/>
                <w:szCs w:val="22"/>
              </w:rPr>
            </w:pPr>
            <w:r w:rsidRPr="001D5207">
              <w:rPr>
                <w:b/>
                <w:bCs/>
                <w:color w:val="000000" w:themeColor="text1"/>
                <w:sz w:val="22"/>
                <w:szCs w:val="22"/>
              </w:rPr>
              <w:t>Ekonominės naudos ir išlaidų santykis</w:t>
            </w:r>
            <w:r w:rsidRPr="001D5207">
              <w:rPr>
                <w:color w:val="000000" w:themeColor="text1"/>
                <w:sz w:val="22"/>
                <w:szCs w:val="22"/>
              </w:rPr>
              <w:t xml:space="preserve"> (toliau -  ENIS), jei jis mažesnis už 1.</w:t>
            </w:r>
            <w:r w:rsidRPr="001D5207">
              <w:rPr>
                <w:rFonts w:ascii="Arial" w:eastAsia="Calibri" w:hAnsi="Arial" w:cs="Arial"/>
                <w:b/>
                <w:bCs/>
                <w:color w:val="021113"/>
                <w:kern w:val="24"/>
                <w:szCs w:val="24"/>
                <w:lang w:eastAsia="lt-LT"/>
              </w:rPr>
              <w:t xml:space="preserve"> </w:t>
            </w:r>
            <w:r w:rsidRPr="001D5207">
              <w:rPr>
                <w:color w:val="000000" w:themeColor="text1"/>
                <w:sz w:val="22"/>
                <w:szCs w:val="22"/>
              </w:rPr>
              <w:t>Viešųjų investicijų projektų ENIS visais atvejais privalo būti didesnis už 1.</w:t>
            </w:r>
          </w:p>
          <w:p w14:paraId="2DCAE11B" w14:textId="77777777" w:rsidR="006748C3" w:rsidRPr="001D5207" w:rsidRDefault="006748C3" w:rsidP="006748C3">
            <w:pPr>
              <w:pStyle w:val="Sraopastraipa"/>
              <w:numPr>
                <w:ilvl w:val="0"/>
                <w:numId w:val="1"/>
              </w:numPr>
              <w:tabs>
                <w:tab w:val="left" w:pos="173"/>
              </w:tabs>
              <w:ind w:left="171" w:right="11" w:hanging="171"/>
              <w:jc w:val="both"/>
              <w:rPr>
                <w:color w:val="000000" w:themeColor="text1"/>
                <w:sz w:val="22"/>
                <w:szCs w:val="22"/>
              </w:rPr>
            </w:pPr>
            <w:r w:rsidRPr="001D5207">
              <w:rPr>
                <w:b/>
                <w:bCs/>
                <w:color w:val="000000" w:themeColor="text1"/>
                <w:sz w:val="22"/>
                <w:szCs w:val="22"/>
              </w:rPr>
              <w:t>65 metų ir vyresnių Lietuvos gyventojų skaičiaus prognozės bei demografinė situacija 2023-2035 m.</w:t>
            </w:r>
            <w:r w:rsidRPr="001D5207">
              <w:rPr>
                <w:color w:val="000000" w:themeColor="text1"/>
                <w:sz w:val="22"/>
                <w:szCs w:val="22"/>
              </w:rPr>
              <w:t xml:space="preserve"> </w:t>
            </w:r>
            <w:r w:rsidRPr="001D5207">
              <w:rPr>
                <w:b/>
                <w:bCs/>
                <w:color w:val="000000" w:themeColor="text1"/>
                <w:sz w:val="22"/>
                <w:szCs w:val="22"/>
              </w:rPr>
              <w:t>konkrečioje savivaldybėje</w:t>
            </w:r>
            <w:r w:rsidRPr="001D5207">
              <w:rPr>
                <w:color w:val="000000" w:themeColor="text1"/>
                <w:sz w:val="22"/>
                <w:szCs w:val="22"/>
              </w:rPr>
              <w:t>, kurioje įsikūrusi valstybės socialinės globos įstaiga/-</w:t>
            </w:r>
            <w:proofErr w:type="spellStart"/>
            <w:r w:rsidRPr="001D5207">
              <w:rPr>
                <w:color w:val="000000" w:themeColor="text1"/>
                <w:sz w:val="22"/>
                <w:szCs w:val="22"/>
              </w:rPr>
              <w:t>os</w:t>
            </w:r>
            <w:proofErr w:type="spellEnd"/>
            <w:r w:rsidRPr="001D5207">
              <w:rPr>
                <w:color w:val="000000" w:themeColor="text1"/>
                <w:sz w:val="22"/>
                <w:szCs w:val="22"/>
              </w:rPr>
              <w:t>. Neįtrauktos valstybės socialinės globos  įstaigos, jei socialinės globos vietų poreikis savivaldybėje p</w:t>
            </w:r>
            <w:r w:rsidRPr="001D5207">
              <w:rPr>
                <w:sz w:val="22"/>
                <w:szCs w:val="22"/>
              </w:rPr>
              <w:t xml:space="preserve">rognozuojama, kad bus </w:t>
            </w:r>
            <w:r w:rsidRPr="001D5207">
              <w:rPr>
                <w:color w:val="000000" w:themeColor="text1"/>
                <w:sz w:val="22"/>
                <w:szCs w:val="22"/>
              </w:rPr>
              <w:t xml:space="preserve">užtikrintas ir be valstybės pagalbos. </w:t>
            </w:r>
          </w:p>
          <w:p w14:paraId="5B2A83A0" w14:textId="77777777" w:rsidR="006748C3" w:rsidRPr="001D5207" w:rsidRDefault="006748C3" w:rsidP="006748C3">
            <w:pPr>
              <w:pStyle w:val="Sraopastraipa"/>
              <w:numPr>
                <w:ilvl w:val="0"/>
                <w:numId w:val="1"/>
              </w:numPr>
              <w:tabs>
                <w:tab w:val="left" w:pos="173"/>
              </w:tabs>
              <w:ind w:left="171" w:right="11" w:hanging="171"/>
              <w:jc w:val="both"/>
              <w:rPr>
                <w:color w:val="000000" w:themeColor="text1"/>
                <w:sz w:val="22"/>
                <w:szCs w:val="22"/>
              </w:rPr>
            </w:pPr>
            <w:r w:rsidRPr="001D5207">
              <w:rPr>
                <w:b/>
                <w:bCs/>
                <w:color w:val="000000" w:themeColor="text1"/>
                <w:sz w:val="22"/>
                <w:szCs w:val="22"/>
              </w:rPr>
              <w:t>65 metų ir vyresnių Lietuvos gyventojų skaičiaus prognozės bei demografinė situacija 2023-2035 m.</w:t>
            </w:r>
            <w:r w:rsidRPr="001D5207">
              <w:rPr>
                <w:color w:val="000000" w:themeColor="text1"/>
                <w:sz w:val="22"/>
                <w:szCs w:val="22"/>
              </w:rPr>
              <w:t xml:space="preserve"> </w:t>
            </w:r>
            <w:r w:rsidRPr="001D5207">
              <w:rPr>
                <w:b/>
                <w:bCs/>
                <w:color w:val="000000" w:themeColor="text1"/>
                <w:sz w:val="22"/>
                <w:szCs w:val="22"/>
              </w:rPr>
              <w:t>konkrečiame regione</w:t>
            </w:r>
            <w:r w:rsidRPr="001D5207">
              <w:rPr>
                <w:color w:val="000000" w:themeColor="text1"/>
                <w:sz w:val="22"/>
                <w:szCs w:val="22"/>
              </w:rPr>
              <w:t>, kuriame ilgalaikės socialinės globos  paslaugas teikia valstybės socialinės globos įstaiga/-</w:t>
            </w:r>
            <w:proofErr w:type="spellStart"/>
            <w:r w:rsidRPr="001D5207">
              <w:rPr>
                <w:color w:val="000000" w:themeColor="text1"/>
                <w:sz w:val="22"/>
                <w:szCs w:val="22"/>
              </w:rPr>
              <w:t>os</w:t>
            </w:r>
            <w:proofErr w:type="spellEnd"/>
            <w:r w:rsidRPr="001D5207">
              <w:rPr>
                <w:color w:val="000000" w:themeColor="text1"/>
                <w:sz w:val="22"/>
                <w:szCs w:val="22"/>
              </w:rPr>
              <w:t>. Neįtrauktos valstybės socialinės globos  įstaigos, jei socialinės globos vietų poreikis regione p</w:t>
            </w:r>
            <w:r w:rsidRPr="001D5207">
              <w:rPr>
                <w:sz w:val="22"/>
                <w:szCs w:val="22"/>
              </w:rPr>
              <w:t xml:space="preserve">rognozuojama, kad bus </w:t>
            </w:r>
            <w:r w:rsidRPr="001D5207">
              <w:rPr>
                <w:color w:val="000000" w:themeColor="text1"/>
                <w:sz w:val="22"/>
                <w:szCs w:val="22"/>
              </w:rPr>
              <w:t xml:space="preserve">užtikrintas ir be valstybės pagalbos. </w:t>
            </w:r>
          </w:p>
          <w:p w14:paraId="6D7657F2" w14:textId="77777777" w:rsidR="006748C3" w:rsidRPr="001D5207" w:rsidRDefault="006748C3" w:rsidP="006748C3">
            <w:pPr>
              <w:pStyle w:val="Sraopastraipa"/>
              <w:numPr>
                <w:ilvl w:val="0"/>
                <w:numId w:val="1"/>
              </w:numPr>
              <w:tabs>
                <w:tab w:val="left" w:pos="173"/>
              </w:tabs>
              <w:ind w:left="171" w:right="11" w:hanging="171"/>
              <w:jc w:val="both"/>
              <w:rPr>
                <w:color w:val="000000" w:themeColor="text1"/>
                <w:sz w:val="22"/>
                <w:szCs w:val="22"/>
              </w:rPr>
            </w:pPr>
            <w:r w:rsidRPr="001D5207">
              <w:rPr>
                <w:b/>
                <w:bCs/>
                <w:color w:val="000000" w:themeColor="text1"/>
                <w:sz w:val="22"/>
                <w:szCs w:val="22"/>
              </w:rPr>
              <w:t>Socialinės globos ir slaugos vietos, tenkančios 1 tūkst. 65+ gyventojui</w:t>
            </w:r>
            <w:r w:rsidRPr="001D5207">
              <w:rPr>
                <w:color w:val="000000" w:themeColor="text1"/>
                <w:sz w:val="22"/>
                <w:szCs w:val="22"/>
              </w:rPr>
              <w:t xml:space="preserve"> </w:t>
            </w:r>
            <w:r w:rsidRPr="001D5207">
              <w:rPr>
                <w:b/>
                <w:bCs/>
                <w:color w:val="000000" w:themeColor="text1"/>
                <w:sz w:val="22"/>
                <w:szCs w:val="22"/>
              </w:rPr>
              <w:t>2030 metais</w:t>
            </w:r>
            <w:r w:rsidRPr="001D5207">
              <w:rPr>
                <w:color w:val="000000" w:themeColor="text1"/>
                <w:sz w:val="22"/>
                <w:szCs w:val="22"/>
              </w:rPr>
              <w:t>., atsižvelgiant į Lietuvos ir Ekonominio bendradarbiavimo ir plėtros organizacijos šalių (toliau – EBPO) IPP vietų,  tenkančių 1 tūkst. 65 m. ir vyresniam  gyventojui, vidurkių palyginimus.</w:t>
            </w:r>
          </w:p>
          <w:p w14:paraId="7018D73F" w14:textId="77777777" w:rsidR="006748C3" w:rsidRPr="001D5207" w:rsidRDefault="006748C3" w:rsidP="006748C3">
            <w:pPr>
              <w:pStyle w:val="Sraopastraipa"/>
              <w:numPr>
                <w:ilvl w:val="0"/>
                <w:numId w:val="1"/>
              </w:numPr>
              <w:tabs>
                <w:tab w:val="left" w:pos="173"/>
              </w:tabs>
              <w:ind w:left="171" w:right="11" w:hanging="171"/>
              <w:jc w:val="both"/>
              <w:rPr>
                <w:color w:val="000000" w:themeColor="text1"/>
                <w:sz w:val="22"/>
                <w:szCs w:val="22"/>
              </w:rPr>
            </w:pPr>
            <w:r w:rsidRPr="001D5207">
              <w:rPr>
                <w:b/>
                <w:bCs/>
                <w:color w:val="000000" w:themeColor="text1"/>
                <w:sz w:val="22"/>
                <w:szCs w:val="22"/>
              </w:rPr>
              <w:t>Socialinės globos ir slaugos vietos, tenkančios 1 tūkst. 65+ gyventojui</w:t>
            </w:r>
            <w:r w:rsidRPr="001D5207">
              <w:rPr>
                <w:color w:val="000000" w:themeColor="text1"/>
                <w:sz w:val="22"/>
                <w:szCs w:val="22"/>
              </w:rPr>
              <w:t xml:space="preserve"> </w:t>
            </w:r>
            <w:r w:rsidRPr="001D5207">
              <w:rPr>
                <w:b/>
                <w:bCs/>
                <w:color w:val="000000" w:themeColor="text1"/>
                <w:sz w:val="22"/>
                <w:szCs w:val="22"/>
              </w:rPr>
              <w:t>2035 metais</w:t>
            </w:r>
            <w:r w:rsidRPr="001D5207">
              <w:rPr>
                <w:color w:val="000000" w:themeColor="text1"/>
                <w:sz w:val="22"/>
                <w:szCs w:val="22"/>
              </w:rPr>
              <w:t>, atsižvelgiant į Lietuvos ir EBPO IPP vietų,  tenkančių 1 tūkst. 65 m. ir vyresniam  gyventojui, vidurkių palyginimus.</w:t>
            </w:r>
          </w:p>
          <w:p w14:paraId="0406814E" w14:textId="77777777" w:rsidR="006748C3" w:rsidRPr="001D5207" w:rsidRDefault="006748C3" w:rsidP="006748C3">
            <w:pPr>
              <w:tabs>
                <w:tab w:val="left" w:pos="173"/>
                <w:tab w:val="num" w:pos="720"/>
              </w:tabs>
              <w:ind w:left="29" w:right="11"/>
              <w:jc w:val="both"/>
              <w:rPr>
                <w:color w:val="000000" w:themeColor="text1"/>
                <w:sz w:val="22"/>
                <w:szCs w:val="22"/>
              </w:rPr>
            </w:pPr>
            <w:r w:rsidRPr="001D5207">
              <w:rPr>
                <w:color w:val="000000" w:themeColor="text1"/>
                <w:sz w:val="22"/>
                <w:szCs w:val="22"/>
              </w:rPr>
              <w:t>Lietuvoje 2022 m. 1 000 vyresnio amžiaus žmonių tenka 20 lovų, palyginti su 47 lovomis, tenkančiomis  1 000 65 m. ir vyresniam  gyventojui EBPO šalyse</w:t>
            </w:r>
            <w:r w:rsidRPr="001D5207">
              <w:rPr>
                <w:rStyle w:val="Puslapioinaosnuoroda"/>
                <w:color w:val="000000" w:themeColor="text1"/>
                <w:sz w:val="22"/>
                <w:szCs w:val="22"/>
              </w:rPr>
              <w:footnoteReference w:id="25"/>
            </w:r>
            <w:r w:rsidRPr="001D5207">
              <w:rPr>
                <w:color w:val="000000" w:themeColor="text1"/>
                <w:sz w:val="22"/>
                <w:szCs w:val="22"/>
              </w:rPr>
              <w:t xml:space="preserve">.  </w:t>
            </w:r>
          </w:p>
          <w:p w14:paraId="089B32BB" w14:textId="77777777" w:rsidR="006748C3" w:rsidRPr="001D5207" w:rsidRDefault="006748C3" w:rsidP="006748C3">
            <w:pPr>
              <w:tabs>
                <w:tab w:val="left" w:pos="173"/>
                <w:tab w:val="num" w:pos="720"/>
              </w:tabs>
              <w:ind w:right="11" w:firstLine="31"/>
              <w:rPr>
                <w:color w:val="000000" w:themeColor="text1"/>
                <w:sz w:val="22"/>
                <w:szCs w:val="22"/>
              </w:rPr>
            </w:pPr>
            <w:r w:rsidRPr="001D5207">
              <w:rPr>
                <w:color w:val="000000" w:themeColor="text1"/>
                <w:sz w:val="22"/>
                <w:szCs w:val="22"/>
              </w:rPr>
              <w:t>Prognozuojamas socialinės globos ir slaugos vietų skaičius 2030 m. / 2035 m. apskaičiuotas kiekvienoje savivaldybėje ir regione vadovaujantis:</w:t>
            </w:r>
          </w:p>
          <w:p w14:paraId="44F5D58C" w14:textId="77777777" w:rsidR="006748C3" w:rsidRPr="001D5207" w:rsidRDefault="006748C3" w:rsidP="003B3917">
            <w:pPr>
              <w:pStyle w:val="Sraopastraipa"/>
              <w:numPr>
                <w:ilvl w:val="0"/>
                <w:numId w:val="1"/>
              </w:numPr>
              <w:tabs>
                <w:tab w:val="left" w:pos="173"/>
              </w:tabs>
              <w:ind w:left="0" w:right="11" w:firstLine="31"/>
              <w:rPr>
                <w:color w:val="000000" w:themeColor="text1"/>
                <w:sz w:val="22"/>
                <w:szCs w:val="22"/>
              </w:rPr>
            </w:pPr>
            <w:r w:rsidRPr="001D5207">
              <w:rPr>
                <w:color w:val="000000" w:themeColor="text1"/>
                <w:sz w:val="22"/>
                <w:szCs w:val="22"/>
              </w:rPr>
              <w:t xml:space="preserve">Valstybės duomenų agentūros oficialiosios statistikos duomenimis. </w:t>
            </w:r>
          </w:p>
          <w:p w14:paraId="260E3CBE" w14:textId="77777777" w:rsidR="006748C3" w:rsidRPr="001D5207" w:rsidRDefault="006748C3" w:rsidP="003B3917">
            <w:pPr>
              <w:pStyle w:val="Sraopastraipa"/>
              <w:numPr>
                <w:ilvl w:val="0"/>
                <w:numId w:val="1"/>
              </w:numPr>
              <w:tabs>
                <w:tab w:val="left" w:pos="173"/>
              </w:tabs>
              <w:ind w:left="0" w:right="11" w:firstLine="31"/>
              <w:rPr>
                <w:color w:val="000000" w:themeColor="text1"/>
                <w:sz w:val="22"/>
                <w:szCs w:val="22"/>
              </w:rPr>
            </w:pPr>
            <w:r w:rsidRPr="001D5207">
              <w:rPr>
                <w:color w:val="000000" w:themeColor="text1"/>
                <w:sz w:val="22"/>
                <w:szCs w:val="22"/>
              </w:rPr>
              <w:t xml:space="preserve">Atliktos Studijos dėl demografinių senėjimo prognozių 2030 ir  2035 metams duomenimis. </w:t>
            </w:r>
          </w:p>
          <w:p w14:paraId="0B3D198C" w14:textId="77777777" w:rsidR="006748C3" w:rsidRPr="001D5207" w:rsidRDefault="006748C3" w:rsidP="003B3917">
            <w:pPr>
              <w:pStyle w:val="Sraopastraipa"/>
              <w:numPr>
                <w:ilvl w:val="0"/>
                <w:numId w:val="1"/>
              </w:numPr>
              <w:tabs>
                <w:tab w:val="left" w:pos="173"/>
              </w:tabs>
              <w:ind w:left="0" w:right="11" w:firstLine="31"/>
              <w:rPr>
                <w:color w:val="000000" w:themeColor="text1"/>
                <w:sz w:val="22"/>
                <w:szCs w:val="22"/>
              </w:rPr>
            </w:pPr>
            <w:r w:rsidRPr="001D5207">
              <w:rPr>
                <w:color w:val="000000" w:themeColor="text1"/>
                <w:sz w:val="22"/>
                <w:szCs w:val="22"/>
              </w:rPr>
              <w:t>SAM pateiktais duomenimis dėl prognozuojamų naujų IPP vietų sukūrimo Lietuvoje.</w:t>
            </w:r>
          </w:p>
          <w:p w14:paraId="4209BF24" w14:textId="77777777" w:rsidR="006748C3" w:rsidRPr="001D5207" w:rsidRDefault="006748C3" w:rsidP="003B3917">
            <w:pPr>
              <w:pStyle w:val="Sraopastraipa"/>
              <w:numPr>
                <w:ilvl w:val="0"/>
                <w:numId w:val="1"/>
              </w:numPr>
              <w:tabs>
                <w:tab w:val="left" w:pos="173"/>
              </w:tabs>
              <w:ind w:left="0" w:right="11" w:firstLine="31"/>
              <w:rPr>
                <w:color w:val="000000" w:themeColor="text1"/>
                <w:sz w:val="22"/>
                <w:szCs w:val="22"/>
              </w:rPr>
            </w:pPr>
            <w:r w:rsidRPr="001D5207">
              <w:rPr>
                <w:color w:val="000000" w:themeColor="text1"/>
                <w:sz w:val="22"/>
                <w:szCs w:val="22"/>
              </w:rPr>
              <w:t>SADM surinktais duomenimis dėl prognozuojamų naujų ilgalaikės socialinės globos vietų senyvo amžiaus asmenims sukūrimo savivaldybėse.</w:t>
            </w:r>
          </w:p>
          <w:p w14:paraId="0AF69329" w14:textId="77777777" w:rsidR="006748C3" w:rsidRPr="001D5207" w:rsidRDefault="006748C3" w:rsidP="006748C3">
            <w:pPr>
              <w:tabs>
                <w:tab w:val="left" w:pos="173"/>
              </w:tabs>
              <w:ind w:right="11"/>
              <w:jc w:val="both"/>
              <w:rPr>
                <w:color w:val="000000" w:themeColor="text1"/>
                <w:sz w:val="22"/>
                <w:szCs w:val="22"/>
              </w:rPr>
            </w:pPr>
            <w:r w:rsidRPr="001D5207">
              <w:rPr>
                <w:color w:val="000000" w:themeColor="text1"/>
                <w:sz w:val="22"/>
                <w:szCs w:val="22"/>
              </w:rPr>
              <w:t>Prognozuojama socialinės globos ir slaugos vietų situacija kiekvienoje savivaldybėje 2030 m. / 2035 m. apskaičiuota pagal  socialinės globos vietas,  tenkančiais 1 tūkst. 65 m. ir vyresniam  Lietuvos (toliau – LT) gyventojui ir palyginta su socialinės globos ir slaugos vietų,  tenkančių 1 tūkst. 65 m. ir vyresniam  gyventojui, EBPO  vidurkiu.</w:t>
            </w:r>
            <w:r w:rsidRPr="001D5207">
              <w:rPr>
                <w:rStyle w:val="Puslapioinaosnuoroda"/>
                <w:color w:val="000000" w:themeColor="text1"/>
                <w:sz w:val="22"/>
                <w:szCs w:val="22"/>
              </w:rPr>
              <w:footnoteReference w:id="26"/>
            </w:r>
            <w:r w:rsidRPr="001D5207">
              <w:rPr>
                <w:color w:val="000000" w:themeColor="text1"/>
                <w:sz w:val="22"/>
                <w:szCs w:val="22"/>
              </w:rPr>
              <w:t xml:space="preserve"> Kiekvienos savivaldybės prognozės suskirstytos į tris lygius pagal šviesoforo spalvas.</w:t>
            </w:r>
          </w:p>
          <w:p w14:paraId="30783F85" w14:textId="77777777" w:rsidR="006748C3" w:rsidRPr="001D5207" w:rsidRDefault="006748C3" w:rsidP="006748C3">
            <w:pPr>
              <w:tabs>
                <w:tab w:val="left" w:pos="173"/>
              </w:tabs>
              <w:ind w:right="11"/>
              <w:jc w:val="both"/>
              <w:rPr>
                <w:color w:val="000000" w:themeColor="text1"/>
                <w:sz w:val="22"/>
                <w:szCs w:val="22"/>
              </w:rPr>
            </w:pPr>
            <w:r w:rsidRPr="001D5207">
              <w:rPr>
                <w:color w:val="000000" w:themeColor="text1"/>
                <w:sz w:val="22"/>
                <w:szCs w:val="22"/>
              </w:rPr>
              <w:t>LT vidurkis 2030 m. – 30  vietų tenkančių 1 tūkst. 65 m. ir vyr. gyventojui</w:t>
            </w:r>
          </w:p>
          <w:p w14:paraId="1029B0EE" w14:textId="77777777" w:rsidR="006748C3" w:rsidRPr="001D5207" w:rsidRDefault="006748C3" w:rsidP="006748C3">
            <w:pPr>
              <w:tabs>
                <w:tab w:val="left" w:pos="173"/>
              </w:tabs>
              <w:ind w:right="11"/>
              <w:jc w:val="both"/>
              <w:rPr>
                <w:color w:val="000000" w:themeColor="text1"/>
                <w:sz w:val="22"/>
                <w:szCs w:val="22"/>
              </w:rPr>
            </w:pPr>
            <w:r w:rsidRPr="001D5207">
              <w:rPr>
                <w:color w:val="000000" w:themeColor="text1"/>
                <w:sz w:val="22"/>
                <w:szCs w:val="22"/>
              </w:rPr>
              <w:t>LT vidurkis 2035 m.  – 32 vietos, tenkančios 1 tūkst. 65 m. ir vyr. gyventojui</w:t>
            </w:r>
          </w:p>
          <w:p w14:paraId="2A75453F" w14:textId="77777777" w:rsidR="006748C3" w:rsidRPr="001D5207" w:rsidRDefault="006748C3" w:rsidP="006748C3">
            <w:pPr>
              <w:tabs>
                <w:tab w:val="left" w:pos="173"/>
              </w:tabs>
              <w:ind w:right="11"/>
              <w:jc w:val="both"/>
              <w:rPr>
                <w:color w:val="000000" w:themeColor="text1"/>
                <w:sz w:val="22"/>
                <w:szCs w:val="22"/>
              </w:rPr>
            </w:pPr>
            <w:r w:rsidRPr="001D5207">
              <w:rPr>
                <w:color w:val="000000" w:themeColor="text1"/>
                <w:sz w:val="22"/>
                <w:szCs w:val="22"/>
              </w:rPr>
              <w:t>EBPO šalių vidurkis 2022 m. – 47  vietos, tenkančios 1 tūkst. 65 m. ir vyr. gyventojui.</w:t>
            </w:r>
          </w:p>
          <w:p w14:paraId="6FEE50DC" w14:textId="77777777" w:rsidR="006748C3" w:rsidRPr="001D5207" w:rsidRDefault="006748C3" w:rsidP="006748C3">
            <w:pPr>
              <w:tabs>
                <w:tab w:val="left" w:pos="173"/>
              </w:tabs>
              <w:ind w:right="11"/>
              <w:jc w:val="both"/>
              <w:rPr>
                <w:b/>
                <w:bCs/>
                <w:color w:val="000000" w:themeColor="text1"/>
                <w:sz w:val="22"/>
                <w:szCs w:val="22"/>
              </w:rPr>
            </w:pPr>
            <w:r w:rsidRPr="001D5207">
              <w:rPr>
                <w:b/>
                <w:bCs/>
                <w:color w:val="000000" w:themeColor="text1"/>
                <w:sz w:val="22"/>
                <w:szCs w:val="22"/>
              </w:rPr>
              <w:t xml:space="preserve">Prognozuojama, kad 2030 ir 2035 metais socialinės globos ir slaugos vietų skaičius pasiskirstys pagal tris scenarijus: </w:t>
            </w:r>
          </w:p>
          <w:p w14:paraId="24A0F2FF" w14:textId="596E17B6" w:rsidR="006748C3" w:rsidRPr="001D5207" w:rsidRDefault="006748C3" w:rsidP="006748C3">
            <w:pPr>
              <w:tabs>
                <w:tab w:val="left" w:pos="173"/>
              </w:tabs>
              <w:ind w:left="360" w:right="11"/>
              <w:jc w:val="both"/>
              <w:rPr>
                <w:b/>
                <w:bCs/>
                <w:color w:val="000000" w:themeColor="text1"/>
                <w:sz w:val="22"/>
                <w:szCs w:val="22"/>
              </w:rPr>
            </w:pPr>
            <w:r w:rsidRPr="001D5207">
              <w:rPr>
                <w:noProof/>
                <w:color w:val="000000" w:themeColor="text1"/>
                <w:sz w:val="22"/>
                <w:szCs w:val="22"/>
              </w:rPr>
              <mc:AlternateContent>
                <mc:Choice Requires="wps">
                  <w:drawing>
                    <wp:anchor distT="0" distB="0" distL="114300" distR="114300" simplePos="0" relativeHeight="251661312" behindDoc="0" locked="0" layoutInCell="1" allowOverlap="1" wp14:anchorId="1C2FE2F9" wp14:editId="74231E61">
                      <wp:simplePos x="0" y="0"/>
                      <wp:positionH relativeFrom="column">
                        <wp:posOffset>-35878</wp:posOffset>
                      </wp:positionH>
                      <wp:positionV relativeFrom="paragraph">
                        <wp:posOffset>17145</wp:posOffset>
                      </wp:positionV>
                      <wp:extent cx="196020" cy="161534"/>
                      <wp:effectExtent l="0" t="0" r="0" b="0"/>
                      <wp:wrapNone/>
                      <wp:docPr id="12" name="Stačiakampis 11">
                        <a:extLst xmlns:a="http://schemas.openxmlformats.org/drawingml/2006/main">
                          <a:ext uri="{FF2B5EF4-FFF2-40B4-BE49-F238E27FC236}">
                            <a16:creationId xmlns:a16="http://schemas.microsoft.com/office/drawing/2014/main" id="{9BF04F8F-A8CC-4EA2-8BB2-A5C050EBA9CD}"/>
                          </a:ext>
                        </a:extLst>
                      </wp:docPr>
                      <wp:cNvGraphicFramePr/>
                      <a:graphic xmlns:a="http://schemas.openxmlformats.org/drawingml/2006/main">
                        <a:graphicData uri="http://schemas.microsoft.com/office/word/2010/wordprocessingShape">
                          <wps:wsp>
                            <wps:cNvSpPr/>
                            <wps:spPr>
                              <a:xfrm>
                                <a:off x="0" y="0"/>
                                <a:ext cx="196020" cy="161534"/>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10B24E6" id="Stačiakampis 11" o:spid="_x0000_s1026" style="position:absolute;margin-left:-2.85pt;margin-top:1.35pt;width:15.45pt;height:1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" fillcolor="red" stroked="f" strokeweight="2pt"/>
                  </w:pict>
                </mc:Fallback>
              </mc:AlternateContent>
            </w:r>
            <w:r w:rsidRPr="001D5207">
              <w:rPr>
                <w:b/>
                <w:bCs/>
                <w:color w:val="000000" w:themeColor="text1"/>
                <w:sz w:val="22"/>
                <w:szCs w:val="22"/>
              </w:rPr>
              <w:t xml:space="preserve">kritiška situacija </w:t>
            </w:r>
            <w:r w:rsidR="00F60DCF">
              <w:rPr>
                <w:color w:val="000000" w:themeColor="text1"/>
                <w:sz w:val="22"/>
                <w:szCs w:val="22"/>
              </w:rPr>
              <w:t>–</w:t>
            </w:r>
            <w:r w:rsidRPr="001D5207">
              <w:rPr>
                <w:b/>
                <w:bCs/>
                <w:color w:val="000000" w:themeColor="text1"/>
                <w:sz w:val="22"/>
                <w:szCs w:val="22"/>
              </w:rPr>
              <w:t xml:space="preserve"> </w:t>
            </w:r>
            <w:r w:rsidRPr="001D5207">
              <w:rPr>
                <w:color w:val="000000" w:themeColor="text1"/>
                <w:sz w:val="22"/>
                <w:szCs w:val="22"/>
              </w:rPr>
              <w:t>kritiškai mažai IPP vietų, nes  vietų skaičius mažesnis nei LT vidurkis ( nuo 13 iki 29  vietų tenkančių 1 tūkst. 65 m. ir vyr. gyventojui).</w:t>
            </w:r>
          </w:p>
          <w:p w14:paraId="4D96E9D7" w14:textId="121A96BC" w:rsidR="006748C3" w:rsidRPr="001D5207" w:rsidRDefault="006748C3" w:rsidP="006748C3">
            <w:pPr>
              <w:tabs>
                <w:tab w:val="left" w:pos="173"/>
              </w:tabs>
              <w:ind w:left="360" w:right="11"/>
              <w:jc w:val="both"/>
              <w:rPr>
                <w:color w:val="000000" w:themeColor="text1"/>
                <w:sz w:val="22"/>
                <w:szCs w:val="22"/>
              </w:rPr>
            </w:pPr>
            <w:r w:rsidRPr="001D5207">
              <w:rPr>
                <w:b/>
                <w:bCs/>
                <w:noProof/>
                <w:color w:val="000000" w:themeColor="text1"/>
                <w:sz w:val="22"/>
                <w:szCs w:val="22"/>
              </w:rPr>
              <mc:AlternateContent>
                <mc:Choice Requires="wps">
                  <w:drawing>
                    <wp:anchor distT="0" distB="0" distL="114300" distR="114300" simplePos="0" relativeHeight="251659264" behindDoc="0" locked="0" layoutInCell="1" allowOverlap="1" wp14:anchorId="02516AB9" wp14:editId="0877FBE0">
                      <wp:simplePos x="0" y="0"/>
                      <wp:positionH relativeFrom="column">
                        <wp:posOffset>-33020</wp:posOffset>
                      </wp:positionH>
                      <wp:positionV relativeFrom="paragraph">
                        <wp:posOffset>13970</wp:posOffset>
                      </wp:positionV>
                      <wp:extent cx="184150" cy="137795"/>
                      <wp:effectExtent l="0" t="0" r="6350" b="0"/>
                      <wp:wrapNone/>
                      <wp:docPr id="10" name="Stačiakampis 9">
                        <a:extLst xmlns:a="http://schemas.openxmlformats.org/drawingml/2006/main">
                          <a:ext uri="{FF2B5EF4-FFF2-40B4-BE49-F238E27FC236}">
                            <a16:creationId xmlns:a16="http://schemas.microsoft.com/office/drawing/2014/main" id="{C81F268D-4AAE-4DF9-8439-B78669EBFAE1}"/>
                          </a:ext>
                        </a:extLst>
                      </wp:docPr>
                      <wp:cNvGraphicFramePr/>
                      <a:graphic xmlns:a="http://schemas.openxmlformats.org/drawingml/2006/main">
                        <a:graphicData uri="http://schemas.microsoft.com/office/word/2010/wordprocessingShape">
                          <wps:wsp>
                            <wps:cNvSpPr/>
                            <wps:spPr>
                              <a:xfrm>
                                <a:off x="0" y="0"/>
                                <a:ext cx="184150" cy="13779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8185271" id="Stačiakampis 9" o:spid="_x0000_s1026" style="position:absolute;margin-left:-2.6pt;margin-top:1.1pt;width:14.5pt;height: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" fillcolor="yellow" stroked="f" strokeweight="2pt"/>
                  </w:pict>
                </mc:Fallback>
              </mc:AlternateContent>
            </w:r>
            <w:r w:rsidRPr="001D5207">
              <w:rPr>
                <w:b/>
                <w:bCs/>
                <w:color w:val="000000" w:themeColor="text1"/>
                <w:sz w:val="22"/>
                <w:szCs w:val="22"/>
              </w:rPr>
              <w:t xml:space="preserve">stabili situacija </w:t>
            </w:r>
            <w:r w:rsidR="00F60DCF">
              <w:rPr>
                <w:color w:val="000000" w:themeColor="text1"/>
                <w:sz w:val="22"/>
                <w:szCs w:val="22"/>
              </w:rPr>
              <w:t>–</w:t>
            </w:r>
            <w:r w:rsidRPr="001D5207">
              <w:rPr>
                <w:color w:val="000000" w:themeColor="text1"/>
                <w:sz w:val="22"/>
                <w:szCs w:val="22"/>
              </w:rPr>
              <w:t xml:space="preserve"> IPP</w:t>
            </w:r>
            <w:r w:rsidRPr="001D5207">
              <w:rPr>
                <w:b/>
                <w:bCs/>
                <w:color w:val="000000" w:themeColor="text1"/>
                <w:sz w:val="22"/>
                <w:szCs w:val="22"/>
              </w:rPr>
              <w:t xml:space="preserve"> </w:t>
            </w:r>
            <w:r w:rsidRPr="001D5207">
              <w:rPr>
                <w:color w:val="000000" w:themeColor="text1"/>
                <w:sz w:val="22"/>
                <w:szCs w:val="22"/>
              </w:rPr>
              <w:t>vietų bus nežymiai daugiau nei LT vidurkis, bet nesieks EBPO vidurkio  (nuo 30 iki 46 vietų tenkančių 1 tūkst. 65 m. ir vyr. gyventojui).</w:t>
            </w:r>
          </w:p>
          <w:p w14:paraId="3195C8B4" w14:textId="77777777" w:rsidR="006748C3" w:rsidRPr="001D5207" w:rsidRDefault="006748C3" w:rsidP="006748C3">
            <w:pPr>
              <w:tabs>
                <w:tab w:val="left" w:pos="173"/>
              </w:tabs>
              <w:ind w:right="11" w:firstLine="315"/>
              <w:jc w:val="both"/>
              <w:rPr>
                <w:color w:val="000000" w:themeColor="text1"/>
                <w:sz w:val="22"/>
                <w:szCs w:val="22"/>
              </w:rPr>
            </w:pPr>
            <w:r w:rsidRPr="001D5207">
              <w:rPr>
                <w:b/>
                <w:bCs/>
                <w:noProof/>
                <w:color w:val="000000" w:themeColor="text1"/>
                <w:sz w:val="22"/>
                <w:szCs w:val="22"/>
              </w:rPr>
              <w:lastRenderedPageBreak/>
              <mc:AlternateContent>
                <mc:Choice Requires="wps">
                  <w:drawing>
                    <wp:anchor distT="0" distB="0" distL="114300" distR="114300" simplePos="0" relativeHeight="251660288" behindDoc="0" locked="0" layoutInCell="1" allowOverlap="1" wp14:anchorId="7E066A7C" wp14:editId="57300B07">
                      <wp:simplePos x="0" y="0"/>
                      <wp:positionH relativeFrom="column">
                        <wp:posOffset>-27305</wp:posOffset>
                      </wp:positionH>
                      <wp:positionV relativeFrom="paragraph">
                        <wp:posOffset>7620</wp:posOffset>
                      </wp:positionV>
                      <wp:extent cx="184150" cy="149811"/>
                      <wp:effectExtent l="0" t="0" r="6350" b="3175"/>
                      <wp:wrapNone/>
                      <wp:docPr id="11" name="Stačiakampis 10">
                        <a:extLst xmlns:a="http://schemas.openxmlformats.org/drawingml/2006/main">
                          <a:ext uri="{FF2B5EF4-FFF2-40B4-BE49-F238E27FC236}">
                            <a16:creationId xmlns:a16="http://schemas.microsoft.com/office/drawing/2014/main" id="{9AB10F85-AB93-4D50-A43A-66685DA814AD}"/>
                          </a:ext>
                        </a:extLst>
                      </wp:docPr>
                      <wp:cNvGraphicFramePr/>
                      <a:graphic xmlns:a="http://schemas.openxmlformats.org/drawingml/2006/main">
                        <a:graphicData uri="http://schemas.microsoft.com/office/word/2010/wordprocessingShape">
                          <wps:wsp>
                            <wps:cNvSpPr/>
                            <wps:spPr>
                              <a:xfrm>
                                <a:off x="0" y="0"/>
                                <a:ext cx="184150" cy="149811"/>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E18048E" id="Stačiakampis 10" o:spid="_x0000_s1026" style="position:absolute;margin-left:-2.15pt;margin-top:.6pt;width:14.5pt;height:1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" fillcolor="#00b050" stroked="f" strokeweight="2pt"/>
                  </w:pict>
                </mc:Fallback>
              </mc:AlternateContent>
            </w:r>
            <w:r w:rsidRPr="001D5207">
              <w:rPr>
                <w:b/>
                <w:bCs/>
                <w:color w:val="000000" w:themeColor="text1"/>
                <w:sz w:val="22"/>
                <w:szCs w:val="22"/>
              </w:rPr>
              <w:t xml:space="preserve">puiki situacija – </w:t>
            </w:r>
            <w:r w:rsidRPr="001D5207">
              <w:rPr>
                <w:color w:val="000000" w:themeColor="text1"/>
                <w:sz w:val="22"/>
                <w:szCs w:val="22"/>
              </w:rPr>
              <w:t xml:space="preserve">pakankamai IPP vietų, t. y.  žymiai daugiau nei LT vidurkis/ bei toks pat vietų skaičius ir/ arba daugiau nei EBPO vidurkis (nuo 47 ir daugiau vietų, tenkančių 1 tūkst. 65 m. ir vyr. gyventojui). </w:t>
            </w:r>
          </w:p>
          <w:p w14:paraId="5A4174EF" w14:textId="47A9577F" w:rsidR="006748C3" w:rsidRPr="001D5207" w:rsidRDefault="006748C3" w:rsidP="006748C3">
            <w:pPr>
              <w:tabs>
                <w:tab w:val="left" w:pos="171"/>
              </w:tabs>
              <w:ind w:right="11" w:firstLine="315"/>
              <w:jc w:val="both"/>
              <w:rPr>
                <w:color w:val="000000" w:themeColor="text1"/>
                <w:sz w:val="22"/>
                <w:szCs w:val="22"/>
              </w:rPr>
            </w:pPr>
            <w:r w:rsidRPr="001D5207">
              <w:rPr>
                <w:color w:val="000000" w:themeColor="text1"/>
                <w:sz w:val="22"/>
                <w:szCs w:val="22"/>
              </w:rPr>
              <w:t xml:space="preserve">Atsižvelgiant į aukščiau išdėstytus valstybės socialinės globos įstaigų esamos infrastruktūros atrankos kriterijus modernizavimui, iš šiuo metu veikiančių 31 valstybės socialinės globos įstaigų infrastruktūros, bus modernizuota 25 įstaigų infrastruktūra.  </w:t>
            </w:r>
          </w:p>
          <w:p w14:paraId="6581C84F" w14:textId="69E3893E" w:rsidR="006748C3" w:rsidRPr="001D5207" w:rsidRDefault="006748C3" w:rsidP="006748C3">
            <w:pPr>
              <w:tabs>
                <w:tab w:val="left" w:pos="598"/>
              </w:tabs>
              <w:ind w:left="28" w:firstLine="28"/>
              <w:jc w:val="both"/>
              <w:rPr>
                <w:bCs/>
                <w:sz w:val="22"/>
                <w:szCs w:val="22"/>
              </w:rPr>
            </w:pPr>
            <w:r w:rsidRPr="001D5207">
              <w:rPr>
                <w:color w:val="000000" w:themeColor="text1"/>
                <w:sz w:val="22"/>
                <w:szCs w:val="22"/>
              </w:rPr>
              <w:t xml:space="preserve">Priemonės įgyvendinimui suformuluotos dvi alternatyvos. Abejomis alternatyvomis sprendžiama ta pati problema </w:t>
            </w:r>
            <w:r w:rsidR="00F60DCF">
              <w:rPr>
                <w:color w:val="000000" w:themeColor="text1"/>
                <w:sz w:val="22"/>
                <w:szCs w:val="22"/>
              </w:rPr>
              <w:t>–</w:t>
            </w:r>
            <w:r w:rsidRPr="001D5207">
              <w:rPr>
                <w:color w:val="000000" w:themeColor="text1"/>
                <w:sz w:val="22"/>
                <w:szCs w:val="22"/>
              </w:rPr>
              <w:t xml:space="preserve"> siekis </w:t>
            </w:r>
            <w:r w:rsidRPr="001D5207">
              <w:rPr>
                <w:sz w:val="22"/>
                <w:szCs w:val="22"/>
              </w:rPr>
              <w:t>pagerinti senyvo amžiaus asmenų gyvenimo kokybę, pritaikant jiems skirtą socialinės globos namų gyvenamąją aplinką, atliepiančią jų</w:t>
            </w:r>
            <w:r w:rsidRPr="001D5207">
              <w:rPr>
                <w:bCs/>
                <w:sz w:val="22"/>
                <w:szCs w:val="22"/>
              </w:rPr>
              <w:t xml:space="preserve"> poreikius ir teisės aktuose įtvirtintus socialinės globos įstaigoms keliamus naujus kokybės reikalavimus. </w:t>
            </w:r>
          </w:p>
          <w:p w14:paraId="3EEE7AEE" w14:textId="5914F08E" w:rsidR="006748C3" w:rsidRPr="001D5207" w:rsidRDefault="006748C3" w:rsidP="006748C3">
            <w:pPr>
              <w:jc w:val="both"/>
              <w:rPr>
                <w:color w:val="000000" w:themeColor="text1"/>
                <w:sz w:val="22"/>
                <w:szCs w:val="22"/>
              </w:rPr>
            </w:pPr>
            <w:r w:rsidRPr="001D5207">
              <w:rPr>
                <w:b/>
                <w:bCs/>
                <w:color w:val="000000" w:themeColor="text1"/>
                <w:sz w:val="22"/>
                <w:szCs w:val="22"/>
              </w:rPr>
              <w:t>I alternatyva</w:t>
            </w:r>
            <w:r w:rsidRPr="001D5207">
              <w:rPr>
                <w:color w:val="000000" w:themeColor="text1"/>
                <w:sz w:val="22"/>
                <w:szCs w:val="22"/>
              </w:rPr>
              <w:t xml:space="preserve"> </w:t>
            </w:r>
            <w:r w:rsidR="00F60DCF">
              <w:rPr>
                <w:color w:val="000000" w:themeColor="text1"/>
                <w:sz w:val="22"/>
                <w:szCs w:val="22"/>
              </w:rPr>
              <w:t>–</w:t>
            </w:r>
            <w:r w:rsidRPr="001D5207">
              <w:rPr>
                <w:color w:val="000000" w:themeColor="text1"/>
                <w:sz w:val="22"/>
                <w:szCs w:val="22"/>
              </w:rPr>
              <w:t xml:space="preserve"> valstybės socialinės globos </w:t>
            </w:r>
            <w:r w:rsidRPr="001D5207">
              <w:rPr>
                <w:b/>
                <w:bCs/>
                <w:color w:val="000000" w:themeColor="text1"/>
                <w:sz w:val="22"/>
                <w:szCs w:val="22"/>
              </w:rPr>
              <w:t>įstaigų infrastruktūros modernizavimas</w:t>
            </w:r>
            <w:r w:rsidRPr="001D5207">
              <w:rPr>
                <w:color w:val="000000" w:themeColor="text1"/>
                <w:sz w:val="22"/>
                <w:szCs w:val="22"/>
              </w:rPr>
              <w:t xml:space="preserve"> pagal socialinės globos įstaigoms keliamus naujus kokybės reikalavimus nuo 2035 m. sausio 1 d., teikiant ilgalaikes socialinės globos paslaugas senyvo amžiaus asmenims.</w:t>
            </w:r>
          </w:p>
          <w:p w14:paraId="5DEEDC71" w14:textId="135D5A0B" w:rsidR="006748C3" w:rsidRPr="001D5207" w:rsidRDefault="006748C3" w:rsidP="006748C3">
            <w:pPr>
              <w:jc w:val="both"/>
              <w:rPr>
                <w:color w:val="000000" w:themeColor="text1"/>
                <w:sz w:val="22"/>
                <w:szCs w:val="22"/>
              </w:rPr>
            </w:pPr>
            <w:r w:rsidRPr="001D5207">
              <w:rPr>
                <w:b/>
                <w:bCs/>
                <w:color w:val="000000" w:themeColor="text1"/>
                <w:sz w:val="22"/>
                <w:szCs w:val="22"/>
              </w:rPr>
              <w:t xml:space="preserve">II alternatyva </w:t>
            </w:r>
            <w:r w:rsidR="00F60DCF">
              <w:rPr>
                <w:b/>
                <w:bCs/>
                <w:color w:val="000000" w:themeColor="text1"/>
                <w:sz w:val="22"/>
                <w:szCs w:val="22"/>
              </w:rPr>
              <w:t>–</w:t>
            </w:r>
            <w:r w:rsidRPr="001D5207">
              <w:rPr>
                <w:b/>
                <w:bCs/>
                <w:color w:val="000000" w:themeColor="text1"/>
                <w:sz w:val="22"/>
                <w:szCs w:val="22"/>
              </w:rPr>
              <w:t xml:space="preserve"> naujos </w:t>
            </w:r>
            <w:r w:rsidRPr="001D5207">
              <w:rPr>
                <w:color w:val="000000" w:themeColor="text1"/>
                <w:sz w:val="22"/>
                <w:szCs w:val="22"/>
              </w:rPr>
              <w:t xml:space="preserve">valstybės socialinės globos </w:t>
            </w:r>
            <w:r w:rsidRPr="001D5207">
              <w:rPr>
                <w:b/>
                <w:bCs/>
                <w:color w:val="000000" w:themeColor="text1"/>
                <w:sz w:val="22"/>
                <w:szCs w:val="22"/>
              </w:rPr>
              <w:t>įstaigų  infrastruktūros statyba</w:t>
            </w:r>
            <w:r w:rsidRPr="001D5207">
              <w:rPr>
                <w:color w:val="000000" w:themeColor="text1"/>
                <w:sz w:val="22"/>
                <w:szCs w:val="22"/>
              </w:rPr>
              <w:t>, pagal socialinės globos įstaigoms keliamus naujus kokybės reikalavimus nuo 2035 m. sausio 1 d., teikiant ilgalaikes socialinės globos paslaugas senyvo amžiaus asmenims.</w:t>
            </w:r>
          </w:p>
          <w:p w14:paraId="2F8BCF0B" w14:textId="77777777" w:rsidR="006748C3" w:rsidRPr="001D5207" w:rsidRDefault="006748C3" w:rsidP="006748C3">
            <w:pPr>
              <w:ind w:left="29"/>
              <w:jc w:val="both"/>
              <w:rPr>
                <w:color w:val="000000" w:themeColor="text1"/>
                <w:sz w:val="22"/>
                <w:szCs w:val="22"/>
              </w:rPr>
            </w:pPr>
            <w:r w:rsidRPr="001D5207">
              <w:rPr>
                <w:color w:val="000000" w:themeColor="text1"/>
                <w:sz w:val="22"/>
                <w:szCs w:val="22"/>
              </w:rPr>
              <w:t xml:space="preserve">II alternatyvos atveju,  esami seni valstybės socialinės globos įstaigų pastatai būtų atiduoti Turto bankui, o nauji statomi esamų valstybės socialinės globos įstaigų teritorijoje. Naujų globos  namų statybų atveju baldai ir kiti kilnojami daiktai būtų naudojami turimi (t. y. perkeliant  juos iš senų valstybės socialinės globos įstaigų infrastruktūros), todėl baldų pirkimas neįtrauktas į II alternatyvos kaštus.  Valstybės socialinės globos įstaigų teritorijų plotai yra pakankamai dideli ir būtų sudarytos sąlygos naujų pastatų statybai esamose teritorijose, tačiau svarbu pažymėti, kad tokiu atveju sumažėtų įstaigos teritorijos plotas ir tuo pačiu sumažėtų galimybės senyvo amžiaus asmenų užimtumui, pasivaikščiojimui įstaigos teritorijoje.  </w:t>
            </w:r>
          </w:p>
          <w:p w14:paraId="2192935E" w14:textId="77777777" w:rsidR="006748C3" w:rsidRPr="001D5207" w:rsidRDefault="006748C3" w:rsidP="006748C3">
            <w:pPr>
              <w:ind w:left="29"/>
              <w:jc w:val="both"/>
              <w:rPr>
                <w:color w:val="000000" w:themeColor="text1"/>
                <w:sz w:val="22"/>
                <w:szCs w:val="22"/>
              </w:rPr>
            </w:pPr>
            <w:r w:rsidRPr="001D5207">
              <w:rPr>
                <w:color w:val="000000" w:themeColor="text1"/>
                <w:sz w:val="22"/>
                <w:szCs w:val="22"/>
              </w:rPr>
              <w:t>Abiejų alternatyvų atveju senyvo amžiaus asmenų, gavusių socialines paslaugas modernizuotoje arba naujoje infrastruktūroje, pasiskirstymas pagal regionus ir įstaigas išlieka identiškas (žr. lentelė Nr. 2)</w:t>
            </w:r>
          </w:p>
          <w:p w14:paraId="70BD2255" w14:textId="216487DD" w:rsidR="0043457C" w:rsidRPr="001D5207" w:rsidRDefault="006748C3" w:rsidP="006748C3">
            <w:pPr>
              <w:jc w:val="both"/>
              <w:rPr>
                <w:b/>
                <w:bCs/>
                <w:color w:val="000000" w:themeColor="text1"/>
                <w:sz w:val="22"/>
                <w:szCs w:val="22"/>
              </w:rPr>
            </w:pPr>
            <w:r w:rsidRPr="001D5207">
              <w:rPr>
                <w:b/>
                <w:bCs/>
                <w:color w:val="000000" w:themeColor="text1"/>
                <w:sz w:val="22"/>
                <w:szCs w:val="22"/>
              </w:rPr>
              <w:t>2 lentelė. Senyvo amžiaus asmenų, gavusių socialines paslaugas modernizuotoje infrastruktūroje</w:t>
            </w:r>
            <w:r w:rsidR="0043457C" w:rsidRPr="001D5207">
              <w:rPr>
                <w:b/>
                <w:bCs/>
                <w:color w:val="000000" w:themeColor="text1"/>
                <w:sz w:val="22"/>
                <w:szCs w:val="22"/>
              </w:rPr>
              <w:t xml:space="preserve"> 2030 m.</w:t>
            </w:r>
            <w:r w:rsidRPr="001D5207">
              <w:rPr>
                <w:b/>
                <w:bCs/>
                <w:color w:val="000000" w:themeColor="text1"/>
                <w:sz w:val="22"/>
                <w:szCs w:val="22"/>
              </w:rPr>
              <w:t>, pasiskirstymas pagal įstaigas</w:t>
            </w:r>
          </w:p>
          <w:p w14:paraId="0F2C43BC" w14:textId="31359C62" w:rsidR="006748C3" w:rsidRPr="001D5207" w:rsidRDefault="006748C3" w:rsidP="006748C3">
            <w:pPr>
              <w:jc w:val="both"/>
              <w:rPr>
                <w:b/>
                <w:bCs/>
                <w:color w:val="000000" w:themeColor="text1"/>
                <w:sz w:val="22"/>
                <w:szCs w:val="22"/>
              </w:rPr>
            </w:pPr>
            <w:r w:rsidRPr="001D5207">
              <w:rPr>
                <w:b/>
                <w:bCs/>
                <w:color w:val="000000" w:themeColor="text1"/>
                <w:sz w:val="22"/>
                <w:szCs w:val="22"/>
              </w:rPr>
              <w:t xml:space="preserve"> </w:t>
            </w:r>
          </w:p>
          <w:tbl>
            <w:tblPr>
              <w:tblW w:w="9375" w:type="dxa"/>
              <w:tblInd w:w="27" w:type="dxa"/>
              <w:tblLook w:val="04A0" w:firstRow="1" w:lastRow="0" w:firstColumn="1" w:lastColumn="0" w:noHBand="0" w:noVBand="1"/>
            </w:tblPr>
            <w:tblGrid>
              <w:gridCol w:w="1963"/>
              <w:gridCol w:w="2655"/>
              <w:gridCol w:w="2938"/>
              <w:gridCol w:w="1819"/>
            </w:tblGrid>
            <w:tr w:rsidR="0043457C" w:rsidRPr="00F26B82" w14:paraId="27971E46" w14:textId="77777777" w:rsidTr="00067A3F">
              <w:trPr>
                <w:trHeight w:val="443"/>
              </w:trPr>
              <w:tc>
                <w:tcPr>
                  <w:tcW w:w="1963" w:type="dxa"/>
                  <w:vMerge w:val="restart"/>
                  <w:tcBorders>
                    <w:top w:val="single" w:sz="4" w:space="0" w:color="auto"/>
                    <w:left w:val="single" w:sz="4" w:space="0" w:color="auto"/>
                    <w:right w:val="single" w:sz="4" w:space="0" w:color="auto"/>
                  </w:tcBorders>
                  <w:shd w:val="clear" w:color="auto" w:fill="EEECE1" w:themeFill="background2"/>
                </w:tcPr>
                <w:p w14:paraId="302F3AD2" w14:textId="77777777" w:rsidR="0043457C" w:rsidRPr="00067A3F" w:rsidRDefault="0043457C" w:rsidP="00067A3F">
                  <w:pPr>
                    <w:jc w:val="center"/>
                    <w:rPr>
                      <w:b/>
                      <w:bCs/>
                      <w:color w:val="000000"/>
                      <w:sz w:val="20"/>
                      <w:lang w:eastAsia="lt-LT"/>
                    </w:rPr>
                  </w:pPr>
                  <w:r w:rsidRPr="00067A3F">
                    <w:rPr>
                      <w:b/>
                      <w:bCs/>
                      <w:color w:val="000000"/>
                      <w:sz w:val="20"/>
                      <w:lang w:eastAsia="lt-LT"/>
                    </w:rPr>
                    <w:t>Įstaigos pavadinimas*</w:t>
                  </w:r>
                </w:p>
              </w:tc>
              <w:tc>
                <w:tcPr>
                  <w:tcW w:w="2655" w:type="dxa"/>
                  <w:vMerge w:val="restart"/>
                  <w:tcBorders>
                    <w:top w:val="single" w:sz="4" w:space="0" w:color="auto"/>
                    <w:left w:val="nil"/>
                    <w:right w:val="single" w:sz="4" w:space="0" w:color="auto"/>
                  </w:tcBorders>
                  <w:shd w:val="clear" w:color="auto" w:fill="EEECE1" w:themeFill="background2"/>
                </w:tcPr>
                <w:p w14:paraId="04EB126F" w14:textId="77777777" w:rsidR="0043457C" w:rsidRPr="00067A3F" w:rsidRDefault="0043457C" w:rsidP="00067A3F">
                  <w:pPr>
                    <w:jc w:val="center"/>
                    <w:rPr>
                      <w:b/>
                      <w:bCs/>
                      <w:color w:val="000000"/>
                      <w:sz w:val="20"/>
                      <w:lang w:eastAsia="lt-LT"/>
                    </w:rPr>
                  </w:pPr>
                  <w:r w:rsidRPr="00067A3F">
                    <w:rPr>
                      <w:b/>
                      <w:bCs/>
                      <w:color w:val="000000"/>
                      <w:sz w:val="20"/>
                      <w:lang w:eastAsia="lt-LT"/>
                    </w:rPr>
                    <w:t>Globos vietų sk. senyvo amžiaus asmenims modernizuotoje infrastruktūroje 2030 m.</w:t>
                  </w:r>
                </w:p>
              </w:tc>
              <w:tc>
                <w:tcPr>
                  <w:tcW w:w="4757" w:type="dxa"/>
                  <w:gridSpan w:val="2"/>
                  <w:tcBorders>
                    <w:top w:val="single" w:sz="4" w:space="0" w:color="auto"/>
                    <w:left w:val="nil"/>
                    <w:bottom w:val="single" w:sz="4" w:space="0" w:color="auto"/>
                    <w:right w:val="single" w:sz="4" w:space="0" w:color="auto"/>
                  </w:tcBorders>
                  <w:shd w:val="clear" w:color="auto" w:fill="EEECE1" w:themeFill="background2"/>
                </w:tcPr>
                <w:p w14:paraId="492EE86B" w14:textId="77777777" w:rsidR="0043457C" w:rsidRPr="00067A3F" w:rsidRDefault="0043457C" w:rsidP="00067A3F">
                  <w:pPr>
                    <w:jc w:val="center"/>
                    <w:rPr>
                      <w:b/>
                      <w:bCs/>
                      <w:color w:val="000000"/>
                      <w:sz w:val="20"/>
                      <w:lang w:eastAsia="lt-LT"/>
                    </w:rPr>
                  </w:pPr>
                  <w:r w:rsidRPr="00067A3F">
                    <w:rPr>
                      <w:b/>
                      <w:bCs/>
                      <w:color w:val="000000"/>
                      <w:sz w:val="20"/>
                      <w:lang w:eastAsia="lt-LT"/>
                    </w:rPr>
                    <w:t>Naujos vietos senyvo amžiaus asmenims iš bendruomenės modernizuotoje infrastruktūroje 2030 m.</w:t>
                  </w:r>
                </w:p>
              </w:tc>
            </w:tr>
            <w:tr w:rsidR="0043457C" w:rsidRPr="00F26B82" w14:paraId="36F63479" w14:textId="77777777" w:rsidTr="00067A3F">
              <w:trPr>
                <w:trHeight w:val="276"/>
              </w:trPr>
              <w:tc>
                <w:tcPr>
                  <w:tcW w:w="1963" w:type="dxa"/>
                  <w:vMerge/>
                  <w:tcBorders>
                    <w:left w:val="single" w:sz="4" w:space="0" w:color="auto"/>
                    <w:bottom w:val="single" w:sz="4" w:space="0" w:color="auto"/>
                    <w:right w:val="single" w:sz="4" w:space="0" w:color="auto"/>
                  </w:tcBorders>
                  <w:shd w:val="clear" w:color="auto" w:fill="EEECE1" w:themeFill="background2"/>
                  <w:hideMark/>
                </w:tcPr>
                <w:p w14:paraId="6B712F41" w14:textId="77777777" w:rsidR="0043457C" w:rsidRPr="00067A3F" w:rsidRDefault="0043457C" w:rsidP="00067A3F">
                  <w:pPr>
                    <w:jc w:val="center"/>
                    <w:rPr>
                      <w:b/>
                      <w:bCs/>
                      <w:color w:val="000000"/>
                      <w:sz w:val="20"/>
                      <w:lang w:eastAsia="lt-LT"/>
                    </w:rPr>
                  </w:pPr>
                </w:p>
              </w:tc>
              <w:tc>
                <w:tcPr>
                  <w:tcW w:w="2655" w:type="dxa"/>
                  <w:vMerge/>
                  <w:tcBorders>
                    <w:left w:val="nil"/>
                    <w:bottom w:val="single" w:sz="4" w:space="0" w:color="auto"/>
                    <w:right w:val="single" w:sz="4" w:space="0" w:color="auto"/>
                  </w:tcBorders>
                  <w:shd w:val="clear" w:color="auto" w:fill="EEECE1" w:themeFill="background2"/>
                  <w:hideMark/>
                </w:tcPr>
                <w:p w14:paraId="4E053F92" w14:textId="77777777" w:rsidR="0043457C" w:rsidRPr="00067A3F" w:rsidRDefault="0043457C" w:rsidP="00067A3F">
                  <w:pPr>
                    <w:jc w:val="center"/>
                    <w:rPr>
                      <w:b/>
                      <w:bCs/>
                      <w:color w:val="000000"/>
                      <w:sz w:val="20"/>
                      <w:lang w:eastAsia="lt-LT"/>
                    </w:rPr>
                  </w:pPr>
                </w:p>
              </w:tc>
              <w:tc>
                <w:tcPr>
                  <w:tcW w:w="2938" w:type="dxa"/>
                  <w:tcBorders>
                    <w:top w:val="single" w:sz="4" w:space="0" w:color="auto"/>
                    <w:left w:val="nil"/>
                    <w:bottom w:val="single" w:sz="4" w:space="0" w:color="auto"/>
                    <w:right w:val="single" w:sz="4" w:space="0" w:color="auto"/>
                  </w:tcBorders>
                  <w:shd w:val="clear" w:color="auto" w:fill="EEECE1" w:themeFill="background2"/>
                  <w:hideMark/>
                </w:tcPr>
                <w:p w14:paraId="3A649FFA" w14:textId="77777777" w:rsidR="0043457C" w:rsidRPr="00067A3F" w:rsidRDefault="0043457C" w:rsidP="00067A3F">
                  <w:pPr>
                    <w:jc w:val="center"/>
                    <w:rPr>
                      <w:b/>
                      <w:bCs/>
                      <w:color w:val="000000"/>
                      <w:sz w:val="20"/>
                      <w:lang w:eastAsia="lt-LT"/>
                    </w:rPr>
                  </w:pPr>
                  <w:r w:rsidRPr="00067A3F">
                    <w:rPr>
                      <w:b/>
                      <w:bCs/>
                      <w:color w:val="000000"/>
                      <w:sz w:val="20"/>
                      <w:lang w:eastAsia="lt-LT"/>
                    </w:rPr>
                    <w:t>Absoliučiais skaičiais</w:t>
                  </w:r>
                </w:p>
              </w:tc>
              <w:tc>
                <w:tcPr>
                  <w:tcW w:w="1819" w:type="dxa"/>
                  <w:tcBorders>
                    <w:top w:val="single" w:sz="4" w:space="0" w:color="auto"/>
                    <w:left w:val="nil"/>
                    <w:bottom w:val="single" w:sz="4" w:space="0" w:color="auto"/>
                    <w:right w:val="single" w:sz="4" w:space="0" w:color="auto"/>
                  </w:tcBorders>
                  <w:shd w:val="clear" w:color="auto" w:fill="EEECE1" w:themeFill="background2"/>
                  <w:hideMark/>
                </w:tcPr>
                <w:p w14:paraId="415A0ECA" w14:textId="77777777" w:rsidR="0043457C" w:rsidRPr="00067A3F" w:rsidRDefault="0043457C" w:rsidP="00067A3F">
                  <w:pPr>
                    <w:jc w:val="center"/>
                    <w:rPr>
                      <w:b/>
                      <w:bCs/>
                      <w:color w:val="000000"/>
                      <w:sz w:val="20"/>
                      <w:lang w:eastAsia="lt-LT"/>
                    </w:rPr>
                  </w:pPr>
                  <w:r w:rsidRPr="00067A3F">
                    <w:rPr>
                      <w:b/>
                      <w:bCs/>
                      <w:color w:val="000000"/>
                      <w:sz w:val="20"/>
                      <w:lang w:eastAsia="lt-LT"/>
                    </w:rPr>
                    <w:t>Procentais</w:t>
                  </w:r>
                </w:p>
              </w:tc>
            </w:tr>
            <w:tr w:rsidR="0043457C" w:rsidRPr="00F26B82" w14:paraId="58EA0944" w14:textId="77777777" w:rsidTr="0043457C">
              <w:trPr>
                <w:trHeight w:val="299"/>
              </w:trPr>
              <w:tc>
                <w:tcPr>
                  <w:tcW w:w="1963" w:type="dxa"/>
                  <w:tcBorders>
                    <w:top w:val="nil"/>
                    <w:left w:val="single" w:sz="4" w:space="0" w:color="auto"/>
                    <w:bottom w:val="single" w:sz="4" w:space="0" w:color="auto"/>
                    <w:right w:val="single" w:sz="4" w:space="0" w:color="auto"/>
                  </w:tcBorders>
                  <w:shd w:val="clear" w:color="auto" w:fill="auto"/>
                  <w:hideMark/>
                </w:tcPr>
                <w:p w14:paraId="1E47DEAD" w14:textId="77777777" w:rsidR="0043457C" w:rsidRPr="00F26B82" w:rsidRDefault="0043457C" w:rsidP="006748C3">
                  <w:pPr>
                    <w:jc w:val="both"/>
                    <w:rPr>
                      <w:color w:val="000000"/>
                      <w:sz w:val="22"/>
                      <w:szCs w:val="22"/>
                      <w:lang w:eastAsia="lt-LT"/>
                    </w:rPr>
                  </w:pPr>
                  <w:r w:rsidRPr="00F26B82">
                    <w:rPr>
                      <w:color w:val="000000"/>
                      <w:sz w:val="22"/>
                      <w:szCs w:val="22"/>
                      <w:lang w:eastAsia="lt-LT"/>
                    </w:rPr>
                    <w:t>Adakavo SGN</w:t>
                  </w:r>
                </w:p>
              </w:tc>
              <w:tc>
                <w:tcPr>
                  <w:tcW w:w="2655" w:type="dxa"/>
                  <w:tcBorders>
                    <w:top w:val="nil"/>
                    <w:left w:val="nil"/>
                    <w:bottom w:val="single" w:sz="4" w:space="0" w:color="auto"/>
                    <w:right w:val="single" w:sz="4" w:space="0" w:color="auto"/>
                  </w:tcBorders>
                  <w:shd w:val="clear" w:color="auto" w:fill="auto"/>
                  <w:noWrap/>
                  <w:hideMark/>
                </w:tcPr>
                <w:p w14:paraId="2B90ABB0" w14:textId="77777777" w:rsidR="0043457C" w:rsidRPr="00F26B82" w:rsidRDefault="0043457C" w:rsidP="006748C3">
                  <w:pPr>
                    <w:jc w:val="both"/>
                    <w:rPr>
                      <w:color w:val="000000"/>
                      <w:sz w:val="22"/>
                      <w:szCs w:val="22"/>
                      <w:lang w:eastAsia="lt-LT"/>
                    </w:rPr>
                  </w:pPr>
                  <w:r w:rsidRPr="00F26B82">
                    <w:rPr>
                      <w:color w:val="000000"/>
                      <w:sz w:val="22"/>
                      <w:szCs w:val="22"/>
                      <w:lang w:eastAsia="lt-LT"/>
                    </w:rPr>
                    <w:t>98</w:t>
                  </w:r>
                </w:p>
              </w:tc>
              <w:tc>
                <w:tcPr>
                  <w:tcW w:w="2938" w:type="dxa"/>
                  <w:tcBorders>
                    <w:top w:val="nil"/>
                    <w:left w:val="nil"/>
                    <w:bottom w:val="single" w:sz="4" w:space="0" w:color="auto"/>
                    <w:right w:val="single" w:sz="4" w:space="0" w:color="auto"/>
                  </w:tcBorders>
                  <w:shd w:val="clear" w:color="auto" w:fill="auto"/>
                  <w:noWrap/>
                  <w:hideMark/>
                </w:tcPr>
                <w:p w14:paraId="6817478A" w14:textId="77777777" w:rsidR="0043457C" w:rsidRPr="00F26B82" w:rsidRDefault="0043457C" w:rsidP="006748C3">
                  <w:pPr>
                    <w:jc w:val="both"/>
                    <w:rPr>
                      <w:color w:val="000000"/>
                      <w:sz w:val="22"/>
                      <w:szCs w:val="22"/>
                      <w:lang w:eastAsia="lt-LT"/>
                    </w:rPr>
                  </w:pPr>
                  <w:r w:rsidRPr="00F26B82">
                    <w:rPr>
                      <w:color w:val="000000"/>
                      <w:sz w:val="22"/>
                      <w:szCs w:val="22"/>
                      <w:lang w:eastAsia="lt-LT"/>
                    </w:rPr>
                    <w:t>23</w:t>
                  </w:r>
                </w:p>
              </w:tc>
              <w:tc>
                <w:tcPr>
                  <w:tcW w:w="1819" w:type="dxa"/>
                  <w:tcBorders>
                    <w:top w:val="nil"/>
                    <w:left w:val="nil"/>
                    <w:bottom w:val="single" w:sz="4" w:space="0" w:color="auto"/>
                    <w:right w:val="single" w:sz="4" w:space="0" w:color="auto"/>
                  </w:tcBorders>
                  <w:shd w:val="clear" w:color="auto" w:fill="auto"/>
                  <w:noWrap/>
                  <w:hideMark/>
                </w:tcPr>
                <w:p w14:paraId="602079B5" w14:textId="77777777" w:rsidR="0043457C" w:rsidRPr="00F26B82" w:rsidRDefault="0043457C" w:rsidP="006748C3">
                  <w:pPr>
                    <w:jc w:val="both"/>
                    <w:rPr>
                      <w:color w:val="000000"/>
                      <w:sz w:val="22"/>
                      <w:szCs w:val="22"/>
                      <w:lang w:eastAsia="lt-LT"/>
                    </w:rPr>
                  </w:pPr>
                  <w:r w:rsidRPr="00F26B82">
                    <w:rPr>
                      <w:color w:val="000000"/>
                      <w:sz w:val="22"/>
                      <w:szCs w:val="22"/>
                      <w:lang w:eastAsia="lt-LT"/>
                    </w:rPr>
                    <w:t>23</w:t>
                  </w:r>
                </w:p>
              </w:tc>
            </w:tr>
            <w:tr w:rsidR="0043457C" w:rsidRPr="00F26B82" w14:paraId="2A5A0C3A" w14:textId="77777777" w:rsidTr="0043457C">
              <w:trPr>
                <w:trHeight w:val="279"/>
              </w:trPr>
              <w:tc>
                <w:tcPr>
                  <w:tcW w:w="1963" w:type="dxa"/>
                  <w:tcBorders>
                    <w:top w:val="nil"/>
                    <w:left w:val="single" w:sz="4" w:space="0" w:color="auto"/>
                    <w:bottom w:val="single" w:sz="4" w:space="0" w:color="auto"/>
                    <w:right w:val="single" w:sz="4" w:space="0" w:color="auto"/>
                  </w:tcBorders>
                  <w:shd w:val="clear" w:color="auto" w:fill="auto"/>
                  <w:hideMark/>
                </w:tcPr>
                <w:p w14:paraId="257260DA" w14:textId="77777777" w:rsidR="0043457C" w:rsidRPr="00F26B82" w:rsidRDefault="0043457C" w:rsidP="006748C3">
                  <w:pPr>
                    <w:jc w:val="both"/>
                    <w:rPr>
                      <w:color w:val="000000"/>
                      <w:sz w:val="22"/>
                      <w:szCs w:val="22"/>
                      <w:lang w:eastAsia="lt-LT"/>
                    </w:rPr>
                  </w:pPr>
                  <w:r w:rsidRPr="00F26B82">
                    <w:rPr>
                      <w:color w:val="000000"/>
                      <w:sz w:val="22"/>
                      <w:szCs w:val="22"/>
                      <w:lang w:eastAsia="lt-LT"/>
                    </w:rPr>
                    <w:t xml:space="preserve">Bandzos SPN </w:t>
                  </w:r>
                </w:p>
              </w:tc>
              <w:tc>
                <w:tcPr>
                  <w:tcW w:w="2655" w:type="dxa"/>
                  <w:tcBorders>
                    <w:top w:val="nil"/>
                    <w:left w:val="nil"/>
                    <w:bottom w:val="single" w:sz="4" w:space="0" w:color="auto"/>
                    <w:right w:val="single" w:sz="4" w:space="0" w:color="auto"/>
                  </w:tcBorders>
                  <w:shd w:val="clear" w:color="auto" w:fill="auto"/>
                  <w:noWrap/>
                  <w:hideMark/>
                </w:tcPr>
                <w:p w14:paraId="328D2CC1" w14:textId="77777777" w:rsidR="0043457C" w:rsidRPr="00F26B82" w:rsidRDefault="0043457C" w:rsidP="006748C3">
                  <w:pPr>
                    <w:jc w:val="both"/>
                    <w:rPr>
                      <w:color w:val="000000"/>
                      <w:sz w:val="22"/>
                      <w:szCs w:val="22"/>
                      <w:lang w:eastAsia="lt-LT"/>
                    </w:rPr>
                  </w:pPr>
                  <w:r w:rsidRPr="00F26B82">
                    <w:rPr>
                      <w:color w:val="000000"/>
                      <w:sz w:val="22"/>
                      <w:szCs w:val="22"/>
                      <w:lang w:eastAsia="lt-LT"/>
                    </w:rPr>
                    <w:t>87</w:t>
                  </w:r>
                </w:p>
              </w:tc>
              <w:tc>
                <w:tcPr>
                  <w:tcW w:w="2938" w:type="dxa"/>
                  <w:tcBorders>
                    <w:top w:val="nil"/>
                    <w:left w:val="nil"/>
                    <w:bottom w:val="single" w:sz="4" w:space="0" w:color="auto"/>
                    <w:right w:val="single" w:sz="4" w:space="0" w:color="auto"/>
                  </w:tcBorders>
                  <w:shd w:val="clear" w:color="auto" w:fill="auto"/>
                  <w:noWrap/>
                  <w:hideMark/>
                </w:tcPr>
                <w:p w14:paraId="6CFAC027" w14:textId="77777777" w:rsidR="0043457C" w:rsidRPr="00F26B82" w:rsidRDefault="0043457C" w:rsidP="006748C3">
                  <w:pPr>
                    <w:jc w:val="both"/>
                    <w:rPr>
                      <w:color w:val="000000"/>
                      <w:sz w:val="22"/>
                      <w:szCs w:val="22"/>
                      <w:lang w:eastAsia="lt-LT"/>
                    </w:rPr>
                  </w:pPr>
                  <w:r w:rsidRPr="00F26B82">
                    <w:rPr>
                      <w:color w:val="000000"/>
                      <w:sz w:val="22"/>
                      <w:szCs w:val="22"/>
                      <w:lang w:eastAsia="lt-LT"/>
                    </w:rPr>
                    <w:t>20</w:t>
                  </w:r>
                </w:p>
              </w:tc>
              <w:tc>
                <w:tcPr>
                  <w:tcW w:w="1819" w:type="dxa"/>
                  <w:tcBorders>
                    <w:top w:val="nil"/>
                    <w:left w:val="nil"/>
                    <w:bottom w:val="single" w:sz="4" w:space="0" w:color="auto"/>
                    <w:right w:val="single" w:sz="4" w:space="0" w:color="auto"/>
                  </w:tcBorders>
                  <w:shd w:val="clear" w:color="auto" w:fill="auto"/>
                  <w:noWrap/>
                  <w:hideMark/>
                </w:tcPr>
                <w:p w14:paraId="6AAA826A" w14:textId="77777777" w:rsidR="0043457C" w:rsidRPr="00F26B82" w:rsidRDefault="0043457C" w:rsidP="006748C3">
                  <w:pPr>
                    <w:jc w:val="both"/>
                    <w:rPr>
                      <w:color w:val="000000"/>
                      <w:sz w:val="22"/>
                      <w:szCs w:val="22"/>
                      <w:lang w:eastAsia="lt-LT"/>
                    </w:rPr>
                  </w:pPr>
                  <w:r w:rsidRPr="00F26B82">
                    <w:rPr>
                      <w:color w:val="000000"/>
                      <w:sz w:val="22"/>
                      <w:szCs w:val="22"/>
                      <w:lang w:eastAsia="lt-LT"/>
                    </w:rPr>
                    <w:t>23</w:t>
                  </w:r>
                </w:p>
              </w:tc>
            </w:tr>
            <w:tr w:rsidR="0043457C" w:rsidRPr="00F26B82" w14:paraId="32AF73E9" w14:textId="77777777" w:rsidTr="0043457C">
              <w:trPr>
                <w:trHeight w:val="288"/>
              </w:trPr>
              <w:tc>
                <w:tcPr>
                  <w:tcW w:w="1963" w:type="dxa"/>
                  <w:tcBorders>
                    <w:top w:val="nil"/>
                    <w:left w:val="single" w:sz="4" w:space="0" w:color="auto"/>
                    <w:bottom w:val="single" w:sz="4" w:space="0" w:color="auto"/>
                    <w:right w:val="single" w:sz="4" w:space="0" w:color="auto"/>
                  </w:tcBorders>
                  <w:shd w:val="clear" w:color="auto" w:fill="auto"/>
                  <w:noWrap/>
                  <w:hideMark/>
                </w:tcPr>
                <w:p w14:paraId="5B93E03D" w14:textId="77777777" w:rsidR="0043457C" w:rsidRPr="00F26B82" w:rsidRDefault="0043457C" w:rsidP="006748C3">
                  <w:pPr>
                    <w:jc w:val="both"/>
                    <w:rPr>
                      <w:color w:val="000000"/>
                      <w:sz w:val="22"/>
                      <w:szCs w:val="22"/>
                      <w:lang w:eastAsia="lt-LT"/>
                    </w:rPr>
                  </w:pPr>
                  <w:r w:rsidRPr="00F26B82">
                    <w:rPr>
                      <w:color w:val="000000"/>
                      <w:sz w:val="22"/>
                      <w:szCs w:val="22"/>
                      <w:lang w:eastAsia="lt-LT"/>
                    </w:rPr>
                    <w:t>Didvyžių SGN</w:t>
                  </w:r>
                </w:p>
              </w:tc>
              <w:tc>
                <w:tcPr>
                  <w:tcW w:w="2655" w:type="dxa"/>
                  <w:tcBorders>
                    <w:top w:val="nil"/>
                    <w:left w:val="nil"/>
                    <w:bottom w:val="single" w:sz="4" w:space="0" w:color="auto"/>
                    <w:right w:val="single" w:sz="4" w:space="0" w:color="auto"/>
                  </w:tcBorders>
                  <w:shd w:val="clear" w:color="auto" w:fill="auto"/>
                  <w:noWrap/>
                  <w:hideMark/>
                </w:tcPr>
                <w:p w14:paraId="6CCB0E8B" w14:textId="77777777" w:rsidR="0043457C" w:rsidRPr="00F26B82" w:rsidRDefault="0043457C" w:rsidP="006748C3">
                  <w:pPr>
                    <w:jc w:val="both"/>
                    <w:rPr>
                      <w:color w:val="000000"/>
                      <w:sz w:val="22"/>
                      <w:szCs w:val="22"/>
                      <w:lang w:eastAsia="lt-LT"/>
                    </w:rPr>
                  </w:pPr>
                  <w:r w:rsidRPr="00F26B82">
                    <w:rPr>
                      <w:color w:val="000000"/>
                      <w:sz w:val="22"/>
                      <w:szCs w:val="22"/>
                      <w:lang w:eastAsia="lt-LT"/>
                    </w:rPr>
                    <w:t>58</w:t>
                  </w:r>
                </w:p>
              </w:tc>
              <w:tc>
                <w:tcPr>
                  <w:tcW w:w="2938" w:type="dxa"/>
                  <w:tcBorders>
                    <w:top w:val="nil"/>
                    <w:left w:val="nil"/>
                    <w:bottom w:val="single" w:sz="4" w:space="0" w:color="auto"/>
                    <w:right w:val="single" w:sz="4" w:space="0" w:color="auto"/>
                  </w:tcBorders>
                  <w:shd w:val="clear" w:color="auto" w:fill="auto"/>
                  <w:noWrap/>
                  <w:hideMark/>
                </w:tcPr>
                <w:p w14:paraId="44F9E41B" w14:textId="77777777" w:rsidR="0043457C" w:rsidRPr="00F26B82" w:rsidRDefault="0043457C" w:rsidP="006748C3">
                  <w:pPr>
                    <w:jc w:val="both"/>
                    <w:rPr>
                      <w:color w:val="000000"/>
                      <w:sz w:val="22"/>
                      <w:szCs w:val="22"/>
                      <w:lang w:eastAsia="lt-LT"/>
                    </w:rPr>
                  </w:pPr>
                  <w:r w:rsidRPr="00F26B82">
                    <w:rPr>
                      <w:color w:val="000000"/>
                      <w:sz w:val="22"/>
                      <w:szCs w:val="22"/>
                      <w:lang w:eastAsia="lt-LT"/>
                    </w:rPr>
                    <w:t>6</w:t>
                  </w:r>
                </w:p>
              </w:tc>
              <w:tc>
                <w:tcPr>
                  <w:tcW w:w="1819" w:type="dxa"/>
                  <w:tcBorders>
                    <w:top w:val="nil"/>
                    <w:left w:val="nil"/>
                    <w:bottom w:val="single" w:sz="4" w:space="0" w:color="auto"/>
                    <w:right w:val="single" w:sz="4" w:space="0" w:color="auto"/>
                  </w:tcBorders>
                  <w:shd w:val="clear" w:color="auto" w:fill="auto"/>
                  <w:noWrap/>
                  <w:hideMark/>
                </w:tcPr>
                <w:p w14:paraId="41B0B228" w14:textId="77777777" w:rsidR="0043457C" w:rsidRPr="00F26B82" w:rsidRDefault="0043457C" w:rsidP="006748C3">
                  <w:pPr>
                    <w:jc w:val="both"/>
                    <w:rPr>
                      <w:color w:val="000000"/>
                      <w:sz w:val="22"/>
                      <w:szCs w:val="22"/>
                      <w:lang w:eastAsia="lt-LT"/>
                    </w:rPr>
                  </w:pPr>
                  <w:r w:rsidRPr="00F26B82">
                    <w:rPr>
                      <w:color w:val="000000"/>
                      <w:sz w:val="22"/>
                      <w:szCs w:val="22"/>
                      <w:lang w:eastAsia="lt-LT"/>
                    </w:rPr>
                    <w:t>10</w:t>
                  </w:r>
                </w:p>
              </w:tc>
            </w:tr>
            <w:tr w:rsidR="0043457C" w:rsidRPr="00F26B82" w14:paraId="5D9A15B7" w14:textId="77777777" w:rsidTr="0043457C">
              <w:trPr>
                <w:trHeight w:val="288"/>
              </w:trPr>
              <w:tc>
                <w:tcPr>
                  <w:tcW w:w="1963" w:type="dxa"/>
                  <w:tcBorders>
                    <w:top w:val="nil"/>
                    <w:left w:val="single" w:sz="4" w:space="0" w:color="auto"/>
                    <w:bottom w:val="single" w:sz="4" w:space="0" w:color="auto"/>
                    <w:right w:val="single" w:sz="4" w:space="0" w:color="auto"/>
                  </w:tcBorders>
                  <w:shd w:val="clear" w:color="auto" w:fill="auto"/>
                  <w:noWrap/>
                  <w:hideMark/>
                </w:tcPr>
                <w:p w14:paraId="0FFE8126" w14:textId="77777777" w:rsidR="0043457C" w:rsidRPr="00F26B82" w:rsidRDefault="0043457C" w:rsidP="006748C3">
                  <w:pPr>
                    <w:jc w:val="both"/>
                    <w:rPr>
                      <w:color w:val="000000"/>
                      <w:sz w:val="22"/>
                      <w:szCs w:val="22"/>
                      <w:lang w:eastAsia="lt-LT"/>
                    </w:rPr>
                  </w:pPr>
                  <w:r w:rsidRPr="00F26B82">
                    <w:rPr>
                      <w:color w:val="000000"/>
                      <w:sz w:val="22"/>
                      <w:szCs w:val="22"/>
                      <w:lang w:eastAsia="lt-LT"/>
                    </w:rPr>
                    <w:t>Dūseikių SGN</w:t>
                  </w:r>
                </w:p>
              </w:tc>
              <w:tc>
                <w:tcPr>
                  <w:tcW w:w="2655" w:type="dxa"/>
                  <w:tcBorders>
                    <w:top w:val="nil"/>
                    <w:left w:val="nil"/>
                    <w:bottom w:val="single" w:sz="4" w:space="0" w:color="auto"/>
                    <w:right w:val="single" w:sz="4" w:space="0" w:color="auto"/>
                  </w:tcBorders>
                  <w:shd w:val="clear" w:color="auto" w:fill="auto"/>
                  <w:noWrap/>
                  <w:hideMark/>
                </w:tcPr>
                <w:p w14:paraId="5D398852" w14:textId="77777777" w:rsidR="0043457C" w:rsidRPr="00F26B82" w:rsidRDefault="0043457C" w:rsidP="006748C3">
                  <w:pPr>
                    <w:jc w:val="both"/>
                    <w:rPr>
                      <w:color w:val="000000"/>
                      <w:sz w:val="22"/>
                      <w:szCs w:val="22"/>
                      <w:lang w:eastAsia="lt-LT"/>
                    </w:rPr>
                  </w:pPr>
                  <w:r w:rsidRPr="00F26B82">
                    <w:rPr>
                      <w:color w:val="000000"/>
                      <w:sz w:val="22"/>
                      <w:szCs w:val="22"/>
                      <w:lang w:eastAsia="lt-LT"/>
                    </w:rPr>
                    <w:t>80</w:t>
                  </w:r>
                </w:p>
              </w:tc>
              <w:tc>
                <w:tcPr>
                  <w:tcW w:w="2938" w:type="dxa"/>
                  <w:tcBorders>
                    <w:top w:val="nil"/>
                    <w:left w:val="nil"/>
                    <w:bottom w:val="single" w:sz="4" w:space="0" w:color="auto"/>
                    <w:right w:val="single" w:sz="4" w:space="0" w:color="auto"/>
                  </w:tcBorders>
                  <w:shd w:val="clear" w:color="auto" w:fill="auto"/>
                  <w:noWrap/>
                  <w:hideMark/>
                </w:tcPr>
                <w:p w14:paraId="032F990B" w14:textId="77777777" w:rsidR="0043457C" w:rsidRPr="00F26B82" w:rsidRDefault="0043457C" w:rsidP="006748C3">
                  <w:pPr>
                    <w:jc w:val="both"/>
                    <w:rPr>
                      <w:color w:val="000000"/>
                      <w:sz w:val="22"/>
                      <w:szCs w:val="22"/>
                      <w:lang w:eastAsia="lt-LT"/>
                    </w:rPr>
                  </w:pPr>
                  <w:r w:rsidRPr="00F26B82">
                    <w:rPr>
                      <w:color w:val="000000"/>
                      <w:sz w:val="22"/>
                      <w:szCs w:val="22"/>
                      <w:lang w:eastAsia="lt-LT"/>
                    </w:rPr>
                    <w:t>8</w:t>
                  </w:r>
                </w:p>
              </w:tc>
              <w:tc>
                <w:tcPr>
                  <w:tcW w:w="1819" w:type="dxa"/>
                  <w:tcBorders>
                    <w:top w:val="nil"/>
                    <w:left w:val="nil"/>
                    <w:bottom w:val="single" w:sz="4" w:space="0" w:color="auto"/>
                    <w:right w:val="single" w:sz="4" w:space="0" w:color="auto"/>
                  </w:tcBorders>
                  <w:shd w:val="clear" w:color="auto" w:fill="auto"/>
                  <w:noWrap/>
                  <w:hideMark/>
                </w:tcPr>
                <w:p w14:paraId="540EFA03" w14:textId="77777777" w:rsidR="0043457C" w:rsidRPr="00F26B82" w:rsidRDefault="0043457C" w:rsidP="006748C3">
                  <w:pPr>
                    <w:jc w:val="both"/>
                    <w:rPr>
                      <w:color w:val="000000"/>
                      <w:sz w:val="22"/>
                      <w:szCs w:val="22"/>
                      <w:lang w:eastAsia="lt-LT"/>
                    </w:rPr>
                  </w:pPr>
                  <w:r w:rsidRPr="00F26B82">
                    <w:rPr>
                      <w:color w:val="000000"/>
                      <w:sz w:val="22"/>
                      <w:szCs w:val="22"/>
                      <w:lang w:eastAsia="lt-LT"/>
                    </w:rPr>
                    <w:t>10</w:t>
                  </w:r>
                </w:p>
              </w:tc>
            </w:tr>
            <w:tr w:rsidR="0043457C" w:rsidRPr="00F26B82" w14:paraId="759DA70B" w14:textId="77777777" w:rsidTr="0043457C">
              <w:trPr>
                <w:trHeight w:val="288"/>
              </w:trPr>
              <w:tc>
                <w:tcPr>
                  <w:tcW w:w="1963" w:type="dxa"/>
                  <w:tcBorders>
                    <w:top w:val="nil"/>
                    <w:left w:val="single" w:sz="4" w:space="0" w:color="auto"/>
                    <w:bottom w:val="single" w:sz="4" w:space="0" w:color="auto"/>
                    <w:right w:val="single" w:sz="4" w:space="0" w:color="auto"/>
                  </w:tcBorders>
                  <w:shd w:val="clear" w:color="auto" w:fill="auto"/>
                  <w:noWrap/>
                  <w:hideMark/>
                </w:tcPr>
                <w:p w14:paraId="7B3FE90A" w14:textId="77777777" w:rsidR="0043457C" w:rsidRPr="00F26B82" w:rsidRDefault="0043457C" w:rsidP="006748C3">
                  <w:pPr>
                    <w:jc w:val="both"/>
                    <w:rPr>
                      <w:color w:val="000000"/>
                      <w:sz w:val="22"/>
                      <w:szCs w:val="22"/>
                      <w:lang w:eastAsia="lt-LT"/>
                    </w:rPr>
                  </w:pPr>
                  <w:proofErr w:type="spellStart"/>
                  <w:r w:rsidRPr="00F26B82">
                    <w:rPr>
                      <w:color w:val="000000"/>
                      <w:sz w:val="22"/>
                      <w:szCs w:val="22"/>
                      <w:lang w:eastAsia="lt-LT"/>
                    </w:rPr>
                    <w:t>Jasiuliškių</w:t>
                  </w:r>
                  <w:proofErr w:type="spellEnd"/>
                  <w:r w:rsidRPr="00F26B82">
                    <w:rPr>
                      <w:color w:val="000000"/>
                      <w:sz w:val="22"/>
                      <w:szCs w:val="22"/>
                      <w:lang w:eastAsia="lt-LT"/>
                    </w:rPr>
                    <w:t xml:space="preserve"> SGN</w:t>
                  </w:r>
                </w:p>
              </w:tc>
              <w:tc>
                <w:tcPr>
                  <w:tcW w:w="2655" w:type="dxa"/>
                  <w:tcBorders>
                    <w:top w:val="nil"/>
                    <w:left w:val="nil"/>
                    <w:bottom w:val="single" w:sz="4" w:space="0" w:color="auto"/>
                    <w:right w:val="single" w:sz="4" w:space="0" w:color="auto"/>
                  </w:tcBorders>
                  <w:shd w:val="clear" w:color="auto" w:fill="auto"/>
                  <w:noWrap/>
                  <w:hideMark/>
                </w:tcPr>
                <w:p w14:paraId="614A39D1" w14:textId="77777777" w:rsidR="0043457C" w:rsidRPr="00F26B82" w:rsidRDefault="0043457C" w:rsidP="006748C3">
                  <w:pPr>
                    <w:jc w:val="both"/>
                    <w:rPr>
                      <w:color w:val="000000"/>
                      <w:sz w:val="22"/>
                      <w:szCs w:val="22"/>
                      <w:lang w:eastAsia="lt-LT"/>
                    </w:rPr>
                  </w:pPr>
                  <w:r w:rsidRPr="00F26B82">
                    <w:rPr>
                      <w:color w:val="000000"/>
                      <w:sz w:val="22"/>
                      <w:szCs w:val="22"/>
                      <w:lang w:eastAsia="lt-LT"/>
                    </w:rPr>
                    <w:t>147</w:t>
                  </w:r>
                </w:p>
              </w:tc>
              <w:tc>
                <w:tcPr>
                  <w:tcW w:w="2938" w:type="dxa"/>
                  <w:tcBorders>
                    <w:top w:val="nil"/>
                    <w:left w:val="nil"/>
                    <w:bottom w:val="single" w:sz="4" w:space="0" w:color="auto"/>
                    <w:right w:val="single" w:sz="4" w:space="0" w:color="auto"/>
                  </w:tcBorders>
                  <w:shd w:val="clear" w:color="auto" w:fill="auto"/>
                  <w:noWrap/>
                  <w:hideMark/>
                </w:tcPr>
                <w:p w14:paraId="7798E4BC" w14:textId="77777777" w:rsidR="0043457C" w:rsidRPr="00F26B82" w:rsidRDefault="0043457C" w:rsidP="006748C3">
                  <w:pPr>
                    <w:jc w:val="both"/>
                    <w:rPr>
                      <w:color w:val="000000"/>
                      <w:sz w:val="22"/>
                      <w:szCs w:val="22"/>
                      <w:lang w:eastAsia="lt-LT"/>
                    </w:rPr>
                  </w:pPr>
                  <w:r w:rsidRPr="00F26B82">
                    <w:rPr>
                      <w:color w:val="000000"/>
                      <w:sz w:val="22"/>
                      <w:szCs w:val="22"/>
                      <w:lang w:eastAsia="lt-LT"/>
                    </w:rPr>
                    <w:t>69</w:t>
                  </w:r>
                </w:p>
              </w:tc>
              <w:tc>
                <w:tcPr>
                  <w:tcW w:w="1819" w:type="dxa"/>
                  <w:tcBorders>
                    <w:top w:val="nil"/>
                    <w:left w:val="nil"/>
                    <w:bottom w:val="single" w:sz="4" w:space="0" w:color="auto"/>
                    <w:right w:val="single" w:sz="4" w:space="0" w:color="auto"/>
                  </w:tcBorders>
                  <w:shd w:val="clear" w:color="auto" w:fill="auto"/>
                  <w:noWrap/>
                  <w:hideMark/>
                </w:tcPr>
                <w:p w14:paraId="3F8BEA05" w14:textId="77777777" w:rsidR="0043457C" w:rsidRPr="00F26B82" w:rsidRDefault="0043457C" w:rsidP="006748C3">
                  <w:pPr>
                    <w:jc w:val="both"/>
                    <w:rPr>
                      <w:color w:val="000000"/>
                      <w:sz w:val="22"/>
                      <w:szCs w:val="22"/>
                      <w:lang w:eastAsia="lt-LT"/>
                    </w:rPr>
                  </w:pPr>
                  <w:r w:rsidRPr="00F26B82">
                    <w:rPr>
                      <w:color w:val="000000"/>
                      <w:sz w:val="22"/>
                      <w:szCs w:val="22"/>
                      <w:lang w:eastAsia="lt-LT"/>
                    </w:rPr>
                    <w:t>47</w:t>
                  </w:r>
                </w:p>
              </w:tc>
            </w:tr>
            <w:tr w:rsidR="0043457C" w:rsidRPr="00F26B82" w14:paraId="731855A5" w14:textId="77777777" w:rsidTr="0043457C">
              <w:trPr>
                <w:trHeight w:val="250"/>
              </w:trPr>
              <w:tc>
                <w:tcPr>
                  <w:tcW w:w="1963" w:type="dxa"/>
                  <w:tcBorders>
                    <w:top w:val="nil"/>
                    <w:left w:val="single" w:sz="4" w:space="0" w:color="auto"/>
                    <w:bottom w:val="single" w:sz="4" w:space="0" w:color="auto"/>
                    <w:right w:val="single" w:sz="4" w:space="0" w:color="auto"/>
                  </w:tcBorders>
                  <w:shd w:val="clear" w:color="auto" w:fill="auto"/>
                  <w:hideMark/>
                </w:tcPr>
                <w:p w14:paraId="3C1E3A0C" w14:textId="77777777" w:rsidR="0043457C" w:rsidRPr="00F26B82" w:rsidRDefault="0043457C" w:rsidP="006748C3">
                  <w:pPr>
                    <w:jc w:val="both"/>
                    <w:rPr>
                      <w:color w:val="000000"/>
                      <w:sz w:val="22"/>
                      <w:szCs w:val="22"/>
                      <w:lang w:eastAsia="lt-LT"/>
                    </w:rPr>
                  </w:pPr>
                  <w:r w:rsidRPr="00F26B82">
                    <w:rPr>
                      <w:color w:val="000000"/>
                      <w:sz w:val="22"/>
                      <w:szCs w:val="22"/>
                      <w:lang w:eastAsia="lt-LT"/>
                    </w:rPr>
                    <w:t>Jotainių SGN</w:t>
                  </w:r>
                </w:p>
              </w:tc>
              <w:tc>
                <w:tcPr>
                  <w:tcW w:w="2655" w:type="dxa"/>
                  <w:tcBorders>
                    <w:top w:val="nil"/>
                    <w:left w:val="nil"/>
                    <w:bottom w:val="single" w:sz="4" w:space="0" w:color="auto"/>
                    <w:right w:val="single" w:sz="4" w:space="0" w:color="auto"/>
                  </w:tcBorders>
                  <w:shd w:val="clear" w:color="auto" w:fill="auto"/>
                  <w:noWrap/>
                  <w:hideMark/>
                </w:tcPr>
                <w:p w14:paraId="64A9E471" w14:textId="77777777" w:rsidR="0043457C" w:rsidRPr="00F26B82" w:rsidRDefault="0043457C" w:rsidP="006748C3">
                  <w:pPr>
                    <w:jc w:val="both"/>
                    <w:rPr>
                      <w:color w:val="000000"/>
                      <w:sz w:val="22"/>
                      <w:szCs w:val="22"/>
                      <w:lang w:eastAsia="lt-LT"/>
                    </w:rPr>
                  </w:pPr>
                  <w:r w:rsidRPr="00F26B82">
                    <w:rPr>
                      <w:color w:val="000000"/>
                      <w:sz w:val="22"/>
                      <w:szCs w:val="22"/>
                      <w:lang w:eastAsia="lt-LT"/>
                    </w:rPr>
                    <w:t>114</w:t>
                  </w:r>
                </w:p>
              </w:tc>
              <w:tc>
                <w:tcPr>
                  <w:tcW w:w="2938" w:type="dxa"/>
                  <w:tcBorders>
                    <w:top w:val="nil"/>
                    <w:left w:val="nil"/>
                    <w:bottom w:val="single" w:sz="4" w:space="0" w:color="auto"/>
                    <w:right w:val="single" w:sz="4" w:space="0" w:color="auto"/>
                  </w:tcBorders>
                  <w:shd w:val="clear" w:color="auto" w:fill="auto"/>
                  <w:noWrap/>
                  <w:hideMark/>
                </w:tcPr>
                <w:p w14:paraId="64ADAEDF" w14:textId="77777777" w:rsidR="0043457C" w:rsidRPr="00F26B82" w:rsidRDefault="0043457C" w:rsidP="006748C3">
                  <w:pPr>
                    <w:jc w:val="both"/>
                    <w:rPr>
                      <w:color w:val="000000"/>
                      <w:sz w:val="22"/>
                      <w:szCs w:val="22"/>
                      <w:lang w:eastAsia="lt-LT"/>
                    </w:rPr>
                  </w:pPr>
                  <w:r w:rsidRPr="00F26B82">
                    <w:rPr>
                      <w:color w:val="000000"/>
                      <w:sz w:val="22"/>
                      <w:szCs w:val="22"/>
                      <w:lang w:eastAsia="lt-LT"/>
                    </w:rPr>
                    <w:t>34</w:t>
                  </w:r>
                </w:p>
              </w:tc>
              <w:tc>
                <w:tcPr>
                  <w:tcW w:w="1819" w:type="dxa"/>
                  <w:tcBorders>
                    <w:top w:val="nil"/>
                    <w:left w:val="nil"/>
                    <w:bottom w:val="single" w:sz="4" w:space="0" w:color="auto"/>
                    <w:right w:val="single" w:sz="4" w:space="0" w:color="auto"/>
                  </w:tcBorders>
                  <w:shd w:val="clear" w:color="auto" w:fill="auto"/>
                  <w:noWrap/>
                  <w:hideMark/>
                </w:tcPr>
                <w:p w14:paraId="761A8975" w14:textId="77777777" w:rsidR="0043457C" w:rsidRPr="00F26B82" w:rsidRDefault="0043457C" w:rsidP="006748C3">
                  <w:pPr>
                    <w:jc w:val="both"/>
                    <w:rPr>
                      <w:color w:val="000000"/>
                      <w:sz w:val="22"/>
                      <w:szCs w:val="22"/>
                      <w:lang w:eastAsia="lt-LT"/>
                    </w:rPr>
                  </w:pPr>
                  <w:r w:rsidRPr="00F26B82">
                    <w:rPr>
                      <w:color w:val="000000"/>
                      <w:sz w:val="22"/>
                      <w:szCs w:val="22"/>
                      <w:lang w:eastAsia="lt-LT"/>
                    </w:rPr>
                    <w:t>30</w:t>
                  </w:r>
                </w:p>
              </w:tc>
            </w:tr>
            <w:tr w:rsidR="0043457C" w:rsidRPr="00F26B82" w14:paraId="08FD5993" w14:textId="77777777" w:rsidTr="0043457C">
              <w:trPr>
                <w:trHeight w:val="288"/>
              </w:trPr>
              <w:tc>
                <w:tcPr>
                  <w:tcW w:w="1963" w:type="dxa"/>
                  <w:tcBorders>
                    <w:top w:val="nil"/>
                    <w:left w:val="single" w:sz="4" w:space="0" w:color="auto"/>
                    <w:bottom w:val="single" w:sz="4" w:space="0" w:color="auto"/>
                    <w:right w:val="single" w:sz="4" w:space="0" w:color="auto"/>
                  </w:tcBorders>
                  <w:shd w:val="clear" w:color="auto" w:fill="auto"/>
                  <w:noWrap/>
                  <w:hideMark/>
                </w:tcPr>
                <w:p w14:paraId="079A9CCC" w14:textId="77777777" w:rsidR="0043457C" w:rsidRPr="00F26B82" w:rsidRDefault="0043457C" w:rsidP="006748C3">
                  <w:pPr>
                    <w:jc w:val="both"/>
                    <w:rPr>
                      <w:color w:val="000000"/>
                      <w:sz w:val="22"/>
                      <w:szCs w:val="22"/>
                      <w:lang w:eastAsia="lt-LT"/>
                    </w:rPr>
                  </w:pPr>
                  <w:proofErr w:type="spellStart"/>
                  <w:r w:rsidRPr="00F26B82">
                    <w:rPr>
                      <w:color w:val="000000"/>
                      <w:sz w:val="22"/>
                      <w:szCs w:val="22"/>
                      <w:lang w:eastAsia="lt-LT"/>
                    </w:rPr>
                    <w:t>Jurdaičių</w:t>
                  </w:r>
                  <w:proofErr w:type="spellEnd"/>
                  <w:r w:rsidRPr="00F26B82">
                    <w:rPr>
                      <w:color w:val="000000"/>
                      <w:sz w:val="22"/>
                      <w:szCs w:val="22"/>
                      <w:lang w:eastAsia="lt-LT"/>
                    </w:rPr>
                    <w:t xml:space="preserve"> SGN</w:t>
                  </w:r>
                </w:p>
              </w:tc>
              <w:tc>
                <w:tcPr>
                  <w:tcW w:w="2655" w:type="dxa"/>
                  <w:tcBorders>
                    <w:top w:val="nil"/>
                    <w:left w:val="nil"/>
                    <w:bottom w:val="single" w:sz="4" w:space="0" w:color="auto"/>
                    <w:right w:val="single" w:sz="4" w:space="0" w:color="auto"/>
                  </w:tcBorders>
                  <w:shd w:val="clear" w:color="auto" w:fill="auto"/>
                  <w:noWrap/>
                  <w:hideMark/>
                </w:tcPr>
                <w:p w14:paraId="666DA763" w14:textId="77777777" w:rsidR="0043457C" w:rsidRPr="00F26B82" w:rsidRDefault="0043457C" w:rsidP="006748C3">
                  <w:pPr>
                    <w:jc w:val="both"/>
                    <w:rPr>
                      <w:color w:val="000000"/>
                      <w:sz w:val="22"/>
                      <w:szCs w:val="22"/>
                      <w:lang w:eastAsia="lt-LT"/>
                    </w:rPr>
                  </w:pPr>
                  <w:r w:rsidRPr="00F26B82">
                    <w:rPr>
                      <w:color w:val="000000"/>
                      <w:sz w:val="22"/>
                      <w:szCs w:val="22"/>
                      <w:lang w:eastAsia="lt-LT"/>
                    </w:rPr>
                    <w:t>100</w:t>
                  </w:r>
                </w:p>
              </w:tc>
              <w:tc>
                <w:tcPr>
                  <w:tcW w:w="2938" w:type="dxa"/>
                  <w:tcBorders>
                    <w:top w:val="nil"/>
                    <w:left w:val="nil"/>
                    <w:bottom w:val="single" w:sz="4" w:space="0" w:color="auto"/>
                    <w:right w:val="single" w:sz="4" w:space="0" w:color="auto"/>
                  </w:tcBorders>
                  <w:shd w:val="clear" w:color="auto" w:fill="auto"/>
                  <w:noWrap/>
                  <w:hideMark/>
                </w:tcPr>
                <w:p w14:paraId="17BB79AD" w14:textId="77777777" w:rsidR="0043457C" w:rsidRPr="00F26B82" w:rsidRDefault="0043457C" w:rsidP="006748C3">
                  <w:pPr>
                    <w:jc w:val="both"/>
                    <w:rPr>
                      <w:color w:val="000000"/>
                      <w:sz w:val="22"/>
                      <w:szCs w:val="22"/>
                      <w:lang w:eastAsia="lt-LT"/>
                    </w:rPr>
                  </w:pPr>
                  <w:r w:rsidRPr="00F26B82">
                    <w:rPr>
                      <w:color w:val="000000"/>
                      <w:sz w:val="22"/>
                      <w:szCs w:val="22"/>
                      <w:lang w:eastAsia="lt-LT"/>
                    </w:rPr>
                    <w:t>10</w:t>
                  </w:r>
                </w:p>
              </w:tc>
              <w:tc>
                <w:tcPr>
                  <w:tcW w:w="1819" w:type="dxa"/>
                  <w:tcBorders>
                    <w:top w:val="nil"/>
                    <w:left w:val="nil"/>
                    <w:bottom w:val="single" w:sz="4" w:space="0" w:color="auto"/>
                    <w:right w:val="single" w:sz="4" w:space="0" w:color="auto"/>
                  </w:tcBorders>
                  <w:shd w:val="clear" w:color="auto" w:fill="auto"/>
                  <w:noWrap/>
                  <w:hideMark/>
                </w:tcPr>
                <w:p w14:paraId="0E37AD3B" w14:textId="77777777" w:rsidR="0043457C" w:rsidRPr="00F26B82" w:rsidRDefault="0043457C" w:rsidP="006748C3">
                  <w:pPr>
                    <w:jc w:val="both"/>
                    <w:rPr>
                      <w:color w:val="000000"/>
                      <w:sz w:val="22"/>
                      <w:szCs w:val="22"/>
                      <w:lang w:eastAsia="lt-LT"/>
                    </w:rPr>
                  </w:pPr>
                  <w:r w:rsidRPr="00F26B82">
                    <w:rPr>
                      <w:color w:val="000000"/>
                      <w:sz w:val="22"/>
                      <w:szCs w:val="22"/>
                      <w:lang w:eastAsia="lt-LT"/>
                    </w:rPr>
                    <w:t>10</w:t>
                  </w:r>
                </w:p>
              </w:tc>
            </w:tr>
            <w:tr w:rsidR="0043457C" w:rsidRPr="00F26B82" w14:paraId="2BEE94A1" w14:textId="77777777" w:rsidTr="0043457C">
              <w:trPr>
                <w:trHeight w:val="262"/>
              </w:trPr>
              <w:tc>
                <w:tcPr>
                  <w:tcW w:w="1963" w:type="dxa"/>
                  <w:tcBorders>
                    <w:top w:val="nil"/>
                    <w:left w:val="single" w:sz="4" w:space="0" w:color="auto"/>
                    <w:bottom w:val="single" w:sz="4" w:space="0" w:color="auto"/>
                    <w:right w:val="single" w:sz="4" w:space="0" w:color="auto"/>
                  </w:tcBorders>
                  <w:shd w:val="clear" w:color="auto" w:fill="auto"/>
                </w:tcPr>
                <w:p w14:paraId="7A620529" w14:textId="77777777" w:rsidR="0043457C" w:rsidRPr="00F26B82" w:rsidRDefault="0043457C" w:rsidP="006748C3">
                  <w:pPr>
                    <w:jc w:val="both"/>
                    <w:rPr>
                      <w:color w:val="000000"/>
                      <w:sz w:val="22"/>
                      <w:szCs w:val="22"/>
                      <w:lang w:eastAsia="lt-LT"/>
                    </w:rPr>
                  </w:pPr>
                  <w:r w:rsidRPr="00F26B82">
                    <w:rPr>
                      <w:color w:val="000000"/>
                      <w:sz w:val="22"/>
                      <w:szCs w:val="22"/>
                      <w:lang w:eastAsia="lt-LT"/>
                    </w:rPr>
                    <w:t>Kalvarijos SGN</w:t>
                  </w:r>
                </w:p>
              </w:tc>
              <w:tc>
                <w:tcPr>
                  <w:tcW w:w="2655" w:type="dxa"/>
                  <w:tcBorders>
                    <w:top w:val="nil"/>
                    <w:left w:val="nil"/>
                    <w:bottom w:val="single" w:sz="4" w:space="0" w:color="auto"/>
                    <w:right w:val="single" w:sz="4" w:space="0" w:color="auto"/>
                  </w:tcBorders>
                  <w:shd w:val="clear" w:color="auto" w:fill="auto"/>
                  <w:noWrap/>
                </w:tcPr>
                <w:p w14:paraId="7715FB3E" w14:textId="77777777" w:rsidR="0043457C" w:rsidRPr="00F26B82" w:rsidRDefault="0043457C" w:rsidP="006748C3">
                  <w:pPr>
                    <w:jc w:val="both"/>
                    <w:rPr>
                      <w:color w:val="000000"/>
                      <w:sz w:val="22"/>
                      <w:szCs w:val="22"/>
                      <w:lang w:eastAsia="lt-LT"/>
                    </w:rPr>
                  </w:pPr>
                  <w:r w:rsidRPr="00F26B82">
                    <w:rPr>
                      <w:color w:val="000000"/>
                      <w:sz w:val="22"/>
                      <w:szCs w:val="22"/>
                      <w:lang w:eastAsia="lt-LT"/>
                    </w:rPr>
                    <w:t>50</w:t>
                  </w:r>
                </w:p>
              </w:tc>
              <w:tc>
                <w:tcPr>
                  <w:tcW w:w="2938" w:type="dxa"/>
                  <w:tcBorders>
                    <w:top w:val="nil"/>
                    <w:left w:val="nil"/>
                    <w:bottom w:val="single" w:sz="4" w:space="0" w:color="auto"/>
                    <w:right w:val="single" w:sz="4" w:space="0" w:color="auto"/>
                  </w:tcBorders>
                  <w:shd w:val="clear" w:color="auto" w:fill="auto"/>
                  <w:noWrap/>
                </w:tcPr>
                <w:p w14:paraId="215465DF" w14:textId="77777777" w:rsidR="0043457C" w:rsidRPr="00F26B82" w:rsidRDefault="0043457C" w:rsidP="006748C3">
                  <w:pPr>
                    <w:jc w:val="both"/>
                    <w:rPr>
                      <w:color w:val="000000"/>
                      <w:sz w:val="22"/>
                      <w:szCs w:val="22"/>
                      <w:lang w:eastAsia="lt-LT"/>
                    </w:rPr>
                  </w:pPr>
                  <w:r w:rsidRPr="00F26B82">
                    <w:rPr>
                      <w:color w:val="000000"/>
                      <w:sz w:val="22"/>
                      <w:szCs w:val="22"/>
                      <w:lang w:eastAsia="lt-LT"/>
                    </w:rPr>
                    <w:t>27</w:t>
                  </w:r>
                </w:p>
              </w:tc>
              <w:tc>
                <w:tcPr>
                  <w:tcW w:w="1819" w:type="dxa"/>
                  <w:tcBorders>
                    <w:top w:val="nil"/>
                    <w:left w:val="nil"/>
                    <w:bottom w:val="single" w:sz="4" w:space="0" w:color="auto"/>
                    <w:right w:val="single" w:sz="4" w:space="0" w:color="auto"/>
                  </w:tcBorders>
                  <w:shd w:val="clear" w:color="auto" w:fill="auto"/>
                  <w:noWrap/>
                </w:tcPr>
                <w:p w14:paraId="3DD4E8AA" w14:textId="77777777" w:rsidR="0043457C" w:rsidRPr="00F26B82" w:rsidRDefault="0043457C" w:rsidP="006748C3">
                  <w:pPr>
                    <w:jc w:val="both"/>
                    <w:rPr>
                      <w:color w:val="000000"/>
                      <w:sz w:val="22"/>
                      <w:szCs w:val="22"/>
                      <w:lang w:eastAsia="lt-LT"/>
                    </w:rPr>
                  </w:pPr>
                  <w:r w:rsidRPr="00F26B82">
                    <w:rPr>
                      <w:color w:val="000000"/>
                      <w:sz w:val="22"/>
                      <w:szCs w:val="22"/>
                      <w:lang w:eastAsia="lt-LT"/>
                    </w:rPr>
                    <w:t>54</w:t>
                  </w:r>
                </w:p>
              </w:tc>
            </w:tr>
            <w:tr w:rsidR="0043457C" w:rsidRPr="00F26B82" w14:paraId="62378809" w14:textId="77777777" w:rsidTr="0043457C">
              <w:trPr>
                <w:trHeight w:val="262"/>
              </w:trPr>
              <w:tc>
                <w:tcPr>
                  <w:tcW w:w="1963" w:type="dxa"/>
                  <w:tcBorders>
                    <w:top w:val="nil"/>
                    <w:left w:val="single" w:sz="4" w:space="0" w:color="auto"/>
                    <w:bottom w:val="single" w:sz="4" w:space="0" w:color="auto"/>
                    <w:right w:val="single" w:sz="4" w:space="0" w:color="auto"/>
                  </w:tcBorders>
                  <w:shd w:val="clear" w:color="auto" w:fill="auto"/>
                  <w:hideMark/>
                </w:tcPr>
                <w:p w14:paraId="7AC8BA47" w14:textId="77777777" w:rsidR="0043457C" w:rsidRPr="00F26B82" w:rsidRDefault="0043457C" w:rsidP="006748C3">
                  <w:pPr>
                    <w:jc w:val="both"/>
                    <w:rPr>
                      <w:color w:val="000000"/>
                      <w:sz w:val="22"/>
                      <w:szCs w:val="22"/>
                      <w:lang w:eastAsia="lt-LT"/>
                    </w:rPr>
                  </w:pPr>
                  <w:r w:rsidRPr="00F26B82">
                    <w:rPr>
                      <w:color w:val="000000"/>
                      <w:sz w:val="22"/>
                      <w:szCs w:val="22"/>
                      <w:lang w:eastAsia="lt-LT"/>
                    </w:rPr>
                    <w:t>Kėdainių SGN</w:t>
                  </w:r>
                </w:p>
              </w:tc>
              <w:tc>
                <w:tcPr>
                  <w:tcW w:w="2655" w:type="dxa"/>
                  <w:tcBorders>
                    <w:top w:val="nil"/>
                    <w:left w:val="nil"/>
                    <w:bottom w:val="single" w:sz="4" w:space="0" w:color="auto"/>
                    <w:right w:val="single" w:sz="4" w:space="0" w:color="auto"/>
                  </w:tcBorders>
                  <w:shd w:val="clear" w:color="auto" w:fill="auto"/>
                  <w:noWrap/>
                  <w:hideMark/>
                </w:tcPr>
                <w:p w14:paraId="53C7AABB" w14:textId="77777777" w:rsidR="0043457C" w:rsidRPr="00F26B82" w:rsidRDefault="0043457C" w:rsidP="006748C3">
                  <w:pPr>
                    <w:jc w:val="both"/>
                    <w:rPr>
                      <w:color w:val="000000"/>
                      <w:sz w:val="22"/>
                      <w:szCs w:val="22"/>
                      <w:lang w:eastAsia="lt-LT"/>
                    </w:rPr>
                  </w:pPr>
                  <w:r w:rsidRPr="00F26B82">
                    <w:rPr>
                      <w:color w:val="000000"/>
                      <w:sz w:val="22"/>
                      <w:szCs w:val="22"/>
                      <w:lang w:eastAsia="lt-LT"/>
                    </w:rPr>
                    <w:t>80</w:t>
                  </w:r>
                </w:p>
              </w:tc>
              <w:tc>
                <w:tcPr>
                  <w:tcW w:w="2938" w:type="dxa"/>
                  <w:tcBorders>
                    <w:top w:val="nil"/>
                    <w:left w:val="nil"/>
                    <w:bottom w:val="single" w:sz="4" w:space="0" w:color="auto"/>
                    <w:right w:val="single" w:sz="4" w:space="0" w:color="auto"/>
                  </w:tcBorders>
                  <w:shd w:val="clear" w:color="auto" w:fill="auto"/>
                  <w:noWrap/>
                  <w:hideMark/>
                </w:tcPr>
                <w:p w14:paraId="2DEDA84B" w14:textId="77777777" w:rsidR="0043457C" w:rsidRPr="00F26B82" w:rsidRDefault="0043457C" w:rsidP="006748C3">
                  <w:pPr>
                    <w:jc w:val="both"/>
                    <w:rPr>
                      <w:color w:val="000000"/>
                      <w:sz w:val="22"/>
                      <w:szCs w:val="22"/>
                      <w:lang w:eastAsia="lt-LT"/>
                    </w:rPr>
                  </w:pPr>
                  <w:r w:rsidRPr="00F26B82">
                    <w:rPr>
                      <w:color w:val="000000"/>
                      <w:sz w:val="22"/>
                      <w:szCs w:val="22"/>
                      <w:lang w:eastAsia="lt-LT"/>
                    </w:rPr>
                    <w:t>38</w:t>
                  </w:r>
                </w:p>
              </w:tc>
              <w:tc>
                <w:tcPr>
                  <w:tcW w:w="1819" w:type="dxa"/>
                  <w:tcBorders>
                    <w:top w:val="nil"/>
                    <w:left w:val="nil"/>
                    <w:bottom w:val="single" w:sz="4" w:space="0" w:color="auto"/>
                    <w:right w:val="single" w:sz="4" w:space="0" w:color="auto"/>
                  </w:tcBorders>
                  <w:shd w:val="clear" w:color="auto" w:fill="auto"/>
                  <w:noWrap/>
                  <w:hideMark/>
                </w:tcPr>
                <w:p w14:paraId="115E1AD1" w14:textId="77777777" w:rsidR="0043457C" w:rsidRPr="00F26B82" w:rsidRDefault="0043457C" w:rsidP="006748C3">
                  <w:pPr>
                    <w:jc w:val="both"/>
                    <w:rPr>
                      <w:color w:val="000000"/>
                      <w:sz w:val="22"/>
                      <w:szCs w:val="22"/>
                      <w:lang w:eastAsia="lt-LT"/>
                    </w:rPr>
                  </w:pPr>
                  <w:r w:rsidRPr="00F26B82">
                    <w:rPr>
                      <w:color w:val="000000"/>
                      <w:sz w:val="22"/>
                      <w:szCs w:val="22"/>
                      <w:lang w:eastAsia="lt-LT"/>
                    </w:rPr>
                    <w:t>48</w:t>
                  </w:r>
                </w:p>
              </w:tc>
            </w:tr>
            <w:tr w:rsidR="0043457C" w:rsidRPr="00F26B82" w14:paraId="2CC30398" w14:textId="77777777" w:rsidTr="0043457C">
              <w:trPr>
                <w:trHeight w:val="280"/>
              </w:trPr>
              <w:tc>
                <w:tcPr>
                  <w:tcW w:w="1963" w:type="dxa"/>
                  <w:tcBorders>
                    <w:top w:val="nil"/>
                    <w:left w:val="single" w:sz="4" w:space="0" w:color="auto"/>
                    <w:bottom w:val="single" w:sz="4" w:space="0" w:color="auto"/>
                    <w:right w:val="single" w:sz="4" w:space="0" w:color="auto"/>
                  </w:tcBorders>
                  <w:shd w:val="clear" w:color="auto" w:fill="auto"/>
                  <w:hideMark/>
                </w:tcPr>
                <w:p w14:paraId="076A9F62" w14:textId="77777777" w:rsidR="0043457C" w:rsidRPr="00F26B82" w:rsidRDefault="0043457C" w:rsidP="006748C3">
                  <w:pPr>
                    <w:jc w:val="both"/>
                    <w:rPr>
                      <w:color w:val="000000"/>
                      <w:sz w:val="22"/>
                      <w:szCs w:val="22"/>
                      <w:lang w:eastAsia="lt-LT"/>
                    </w:rPr>
                  </w:pPr>
                  <w:r w:rsidRPr="00F26B82">
                    <w:rPr>
                      <w:color w:val="000000"/>
                      <w:sz w:val="22"/>
                      <w:szCs w:val="22"/>
                      <w:lang w:eastAsia="lt-LT"/>
                    </w:rPr>
                    <w:t>Kupiškio SGN</w:t>
                  </w:r>
                </w:p>
              </w:tc>
              <w:tc>
                <w:tcPr>
                  <w:tcW w:w="2655" w:type="dxa"/>
                  <w:tcBorders>
                    <w:top w:val="nil"/>
                    <w:left w:val="nil"/>
                    <w:bottom w:val="single" w:sz="4" w:space="0" w:color="auto"/>
                    <w:right w:val="single" w:sz="4" w:space="0" w:color="auto"/>
                  </w:tcBorders>
                  <w:shd w:val="clear" w:color="auto" w:fill="auto"/>
                  <w:noWrap/>
                  <w:hideMark/>
                </w:tcPr>
                <w:p w14:paraId="309D95A1" w14:textId="77777777" w:rsidR="0043457C" w:rsidRPr="00F26B82" w:rsidRDefault="0043457C" w:rsidP="006748C3">
                  <w:pPr>
                    <w:jc w:val="both"/>
                    <w:rPr>
                      <w:color w:val="000000"/>
                      <w:sz w:val="22"/>
                      <w:szCs w:val="22"/>
                      <w:lang w:eastAsia="lt-LT"/>
                    </w:rPr>
                  </w:pPr>
                  <w:r w:rsidRPr="00F26B82">
                    <w:rPr>
                      <w:color w:val="000000"/>
                      <w:sz w:val="22"/>
                      <w:szCs w:val="22"/>
                      <w:lang w:eastAsia="lt-LT"/>
                    </w:rPr>
                    <w:t>102</w:t>
                  </w:r>
                </w:p>
              </w:tc>
              <w:tc>
                <w:tcPr>
                  <w:tcW w:w="2938" w:type="dxa"/>
                  <w:tcBorders>
                    <w:top w:val="nil"/>
                    <w:left w:val="nil"/>
                    <w:bottom w:val="single" w:sz="4" w:space="0" w:color="auto"/>
                    <w:right w:val="single" w:sz="4" w:space="0" w:color="auto"/>
                  </w:tcBorders>
                  <w:shd w:val="clear" w:color="auto" w:fill="auto"/>
                  <w:noWrap/>
                  <w:hideMark/>
                </w:tcPr>
                <w:p w14:paraId="2881FEB5" w14:textId="77777777" w:rsidR="0043457C" w:rsidRPr="00F26B82" w:rsidRDefault="0043457C" w:rsidP="006748C3">
                  <w:pPr>
                    <w:jc w:val="both"/>
                    <w:rPr>
                      <w:color w:val="000000"/>
                      <w:sz w:val="22"/>
                      <w:szCs w:val="22"/>
                      <w:lang w:eastAsia="lt-LT"/>
                    </w:rPr>
                  </w:pPr>
                  <w:r w:rsidRPr="00F26B82">
                    <w:rPr>
                      <w:color w:val="000000"/>
                      <w:sz w:val="22"/>
                      <w:szCs w:val="22"/>
                      <w:lang w:eastAsia="lt-LT"/>
                    </w:rPr>
                    <w:t>40</w:t>
                  </w:r>
                </w:p>
              </w:tc>
              <w:tc>
                <w:tcPr>
                  <w:tcW w:w="1819" w:type="dxa"/>
                  <w:tcBorders>
                    <w:top w:val="nil"/>
                    <w:left w:val="nil"/>
                    <w:bottom w:val="single" w:sz="4" w:space="0" w:color="auto"/>
                    <w:right w:val="single" w:sz="4" w:space="0" w:color="auto"/>
                  </w:tcBorders>
                  <w:shd w:val="clear" w:color="auto" w:fill="auto"/>
                  <w:noWrap/>
                  <w:hideMark/>
                </w:tcPr>
                <w:p w14:paraId="1E152898" w14:textId="77777777" w:rsidR="0043457C" w:rsidRPr="00F26B82" w:rsidRDefault="0043457C" w:rsidP="006748C3">
                  <w:pPr>
                    <w:jc w:val="both"/>
                    <w:rPr>
                      <w:color w:val="000000"/>
                      <w:sz w:val="22"/>
                      <w:szCs w:val="22"/>
                      <w:lang w:eastAsia="lt-LT"/>
                    </w:rPr>
                  </w:pPr>
                  <w:r w:rsidRPr="00F26B82">
                    <w:rPr>
                      <w:color w:val="000000"/>
                      <w:sz w:val="22"/>
                      <w:szCs w:val="22"/>
                      <w:lang w:eastAsia="lt-LT"/>
                    </w:rPr>
                    <w:t>39</w:t>
                  </w:r>
                </w:p>
              </w:tc>
            </w:tr>
            <w:tr w:rsidR="0043457C" w:rsidRPr="00F26B82" w14:paraId="0081ED7C" w14:textId="77777777" w:rsidTr="0043457C">
              <w:trPr>
                <w:trHeight w:val="271"/>
              </w:trPr>
              <w:tc>
                <w:tcPr>
                  <w:tcW w:w="1963" w:type="dxa"/>
                  <w:tcBorders>
                    <w:top w:val="nil"/>
                    <w:left w:val="single" w:sz="4" w:space="0" w:color="auto"/>
                    <w:bottom w:val="single" w:sz="4" w:space="0" w:color="auto"/>
                    <w:right w:val="single" w:sz="4" w:space="0" w:color="auto"/>
                  </w:tcBorders>
                  <w:shd w:val="clear" w:color="auto" w:fill="auto"/>
                  <w:hideMark/>
                </w:tcPr>
                <w:p w14:paraId="506DB6C9" w14:textId="77777777" w:rsidR="0043457C" w:rsidRPr="00F26B82" w:rsidRDefault="0043457C" w:rsidP="006748C3">
                  <w:pPr>
                    <w:jc w:val="both"/>
                    <w:rPr>
                      <w:color w:val="000000"/>
                      <w:sz w:val="22"/>
                      <w:szCs w:val="22"/>
                      <w:lang w:eastAsia="lt-LT"/>
                    </w:rPr>
                  </w:pPr>
                  <w:r w:rsidRPr="00F26B82">
                    <w:rPr>
                      <w:color w:val="000000"/>
                      <w:sz w:val="22"/>
                      <w:szCs w:val="22"/>
                      <w:lang w:eastAsia="lt-LT"/>
                    </w:rPr>
                    <w:t>Lavėnų SGN</w:t>
                  </w:r>
                </w:p>
              </w:tc>
              <w:tc>
                <w:tcPr>
                  <w:tcW w:w="2655" w:type="dxa"/>
                  <w:tcBorders>
                    <w:top w:val="nil"/>
                    <w:left w:val="nil"/>
                    <w:bottom w:val="single" w:sz="4" w:space="0" w:color="auto"/>
                    <w:right w:val="single" w:sz="4" w:space="0" w:color="auto"/>
                  </w:tcBorders>
                  <w:shd w:val="clear" w:color="auto" w:fill="auto"/>
                  <w:noWrap/>
                  <w:hideMark/>
                </w:tcPr>
                <w:p w14:paraId="48611B82" w14:textId="77777777" w:rsidR="0043457C" w:rsidRPr="00F26B82" w:rsidRDefault="0043457C" w:rsidP="006748C3">
                  <w:pPr>
                    <w:jc w:val="both"/>
                    <w:rPr>
                      <w:color w:val="000000"/>
                      <w:sz w:val="22"/>
                      <w:szCs w:val="22"/>
                      <w:lang w:eastAsia="lt-LT"/>
                    </w:rPr>
                  </w:pPr>
                  <w:r w:rsidRPr="00F26B82">
                    <w:rPr>
                      <w:color w:val="000000"/>
                      <w:sz w:val="22"/>
                      <w:szCs w:val="22"/>
                      <w:lang w:eastAsia="lt-LT"/>
                    </w:rPr>
                    <w:t>39</w:t>
                  </w:r>
                </w:p>
              </w:tc>
              <w:tc>
                <w:tcPr>
                  <w:tcW w:w="2938" w:type="dxa"/>
                  <w:tcBorders>
                    <w:top w:val="nil"/>
                    <w:left w:val="nil"/>
                    <w:bottom w:val="single" w:sz="4" w:space="0" w:color="auto"/>
                    <w:right w:val="single" w:sz="4" w:space="0" w:color="auto"/>
                  </w:tcBorders>
                  <w:shd w:val="clear" w:color="auto" w:fill="auto"/>
                  <w:noWrap/>
                  <w:hideMark/>
                </w:tcPr>
                <w:p w14:paraId="50693872" w14:textId="77777777" w:rsidR="0043457C" w:rsidRPr="00F26B82" w:rsidRDefault="0043457C" w:rsidP="006748C3">
                  <w:pPr>
                    <w:jc w:val="both"/>
                    <w:rPr>
                      <w:color w:val="000000"/>
                      <w:sz w:val="22"/>
                      <w:szCs w:val="22"/>
                      <w:lang w:eastAsia="lt-LT"/>
                    </w:rPr>
                  </w:pPr>
                  <w:r w:rsidRPr="00F26B82">
                    <w:rPr>
                      <w:color w:val="000000"/>
                      <w:sz w:val="22"/>
                      <w:szCs w:val="22"/>
                      <w:lang w:eastAsia="lt-LT"/>
                    </w:rPr>
                    <w:t>0</w:t>
                  </w:r>
                </w:p>
              </w:tc>
              <w:tc>
                <w:tcPr>
                  <w:tcW w:w="1819" w:type="dxa"/>
                  <w:tcBorders>
                    <w:top w:val="nil"/>
                    <w:left w:val="nil"/>
                    <w:bottom w:val="single" w:sz="4" w:space="0" w:color="auto"/>
                    <w:right w:val="single" w:sz="4" w:space="0" w:color="auto"/>
                  </w:tcBorders>
                  <w:shd w:val="clear" w:color="auto" w:fill="auto"/>
                  <w:noWrap/>
                  <w:hideMark/>
                </w:tcPr>
                <w:p w14:paraId="6FA74EAB" w14:textId="77777777" w:rsidR="0043457C" w:rsidRPr="00F26B82" w:rsidRDefault="0043457C" w:rsidP="006748C3">
                  <w:pPr>
                    <w:jc w:val="both"/>
                    <w:rPr>
                      <w:color w:val="000000"/>
                      <w:sz w:val="22"/>
                      <w:szCs w:val="22"/>
                      <w:lang w:eastAsia="lt-LT"/>
                    </w:rPr>
                  </w:pPr>
                  <w:r w:rsidRPr="00F26B82">
                    <w:rPr>
                      <w:color w:val="000000"/>
                      <w:sz w:val="22"/>
                      <w:szCs w:val="22"/>
                      <w:lang w:eastAsia="lt-LT"/>
                    </w:rPr>
                    <w:t>0</w:t>
                  </w:r>
                </w:p>
              </w:tc>
            </w:tr>
            <w:tr w:rsidR="0043457C" w:rsidRPr="00F26B82" w14:paraId="6C018319" w14:textId="77777777" w:rsidTr="0043457C">
              <w:trPr>
                <w:trHeight w:val="288"/>
              </w:trPr>
              <w:tc>
                <w:tcPr>
                  <w:tcW w:w="1963" w:type="dxa"/>
                  <w:tcBorders>
                    <w:top w:val="nil"/>
                    <w:left w:val="single" w:sz="4" w:space="0" w:color="auto"/>
                    <w:bottom w:val="single" w:sz="4" w:space="0" w:color="auto"/>
                    <w:right w:val="single" w:sz="4" w:space="0" w:color="auto"/>
                  </w:tcBorders>
                  <w:shd w:val="clear" w:color="auto" w:fill="auto"/>
                  <w:noWrap/>
                  <w:hideMark/>
                </w:tcPr>
                <w:p w14:paraId="13806F2A" w14:textId="77777777" w:rsidR="0043457C" w:rsidRPr="00F26B82" w:rsidRDefault="0043457C" w:rsidP="006748C3">
                  <w:pPr>
                    <w:jc w:val="both"/>
                    <w:rPr>
                      <w:color w:val="000000"/>
                      <w:sz w:val="22"/>
                      <w:szCs w:val="22"/>
                      <w:lang w:eastAsia="lt-LT"/>
                    </w:rPr>
                  </w:pPr>
                  <w:r w:rsidRPr="00F26B82">
                    <w:rPr>
                      <w:color w:val="000000"/>
                      <w:sz w:val="22"/>
                      <w:szCs w:val="22"/>
                      <w:lang w:eastAsia="lt-LT"/>
                    </w:rPr>
                    <w:t>Linkuvos SGN</w:t>
                  </w:r>
                </w:p>
              </w:tc>
              <w:tc>
                <w:tcPr>
                  <w:tcW w:w="2655" w:type="dxa"/>
                  <w:tcBorders>
                    <w:top w:val="nil"/>
                    <w:left w:val="nil"/>
                    <w:bottom w:val="single" w:sz="4" w:space="0" w:color="auto"/>
                    <w:right w:val="single" w:sz="4" w:space="0" w:color="auto"/>
                  </w:tcBorders>
                  <w:shd w:val="clear" w:color="auto" w:fill="auto"/>
                  <w:noWrap/>
                  <w:hideMark/>
                </w:tcPr>
                <w:p w14:paraId="34AA60B0" w14:textId="77777777" w:rsidR="0043457C" w:rsidRPr="00F26B82" w:rsidRDefault="0043457C" w:rsidP="006748C3">
                  <w:pPr>
                    <w:jc w:val="both"/>
                    <w:rPr>
                      <w:color w:val="000000"/>
                      <w:sz w:val="22"/>
                      <w:szCs w:val="22"/>
                      <w:lang w:eastAsia="lt-LT"/>
                    </w:rPr>
                  </w:pPr>
                  <w:r w:rsidRPr="00F26B82">
                    <w:rPr>
                      <w:color w:val="000000"/>
                      <w:sz w:val="22"/>
                      <w:szCs w:val="22"/>
                      <w:lang w:eastAsia="lt-LT"/>
                    </w:rPr>
                    <w:t>124</w:t>
                  </w:r>
                </w:p>
              </w:tc>
              <w:tc>
                <w:tcPr>
                  <w:tcW w:w="2938" w:type="dxa"/>
                  <w:tcBorders>
                    <w:top w:val="nil"/>
                    <w:left w:val="nil"/>
                    <w:bottom w:val="single" w:sz="4" w:space="0" w:color="auto"/>
                    <w:right w:val="single" w:sz="4" w:space="0" w:color="auto"/>
                  </w:tcBorders>
                  <w:shd w:val="clear" w:color="auto" w:fill="auto"/>
                  <w:noWrap/>
                  <w:hideMark/>
                </w:tcPr>
                <w:p w14:paraId="074C144F" w14:textId="77777777" w:rsidR="0043457C" w:rsidRPr="00F26B82" w:rsidRDefault="0043457C" w:rsidP="006748C3">
                  <w:pPr>
                    <w:jc w:val="both"/>
                    <w:rPr>
                      <w:color w:val="000000"/>
                      <w:sz w:val="22"/>
                      <w:szCs w:val="22"/>
                      <w:lang w:eastAsia="lt-LT"/>
                    </w:rPr>
                  </w:pPr>
                  <w:r w:rsidRPr="00F26B82">
                    <w:rPr>
                      <w:color w:val="000000"/>
                      <w:sz w:val="22"/>
                      <w:szCs w:val="22"/>
                      <w:lang w:eastAsia="lt-LT"/>
                    </w:rPr>
                    <w:t>36</w:t>
                  </w:r>
                </w:p>
              </w:tc>
              <w:tc>
                <w:tcPr>
                  <w:tcW w:w="1819" w:type="dxa"/>
                  <w:tcBorders>
                    <w:top w:val="nil"/>
                    <w:left w:val="nil"/>
                    <w:bottom w:val="single" w:sz="4" w:space="0" w:color="auto"/>
                    <w:right w:val="single" w:sz="4" w:space="0" w:color="auto"/>
                  </w:tcBorders>
                  <w:shd w:val="clear" w:color="auto" w:fill="auto"/>
                  <w:noWrap/>
                  <w:hideMark/>
                </w:tcPr>
                <w:p w14:paraId="0CB3E269" w14:textId="77777777" w:rsidR="0043457C" w:rsidRPr="00F26B82" w:rsidRDefault="0043457C" w:rsidP="006748C3">
                  <w:pPr>
                    <w:jc w:val="both"/>
                    <w:rPr>
                      <w:color w:val="000000"/>
                      <w:sz w:val="22"/>
                      <w:szCs w:val="22"/>
                      <w:lang w:eastAsia="lt-LT"/>
                    </w:rPr>
                  </w:pPr>
                  <w:r w:rsidRPr="00F26B82">
                    <w:rPr>
                      <w:color w:val="000000"/>
                      <w:sz w:val="22"/>
                      <w:szCs w:val="22"/>
                      <w:lang w:eastAsia="lt-LT"/>
                    </w:rPr>
                    <w:t>29</w:t>
                  </w:r>
                </w:p>
              </w:tc>
            </w:tr>
            <w:tr w:rsidR="0043457C" w:rsidRPr="00F26B82" w14:paraId="5DF932B4" w14:textId="77777777" w:rsidTr="0043457C">
              <w:trPr>
                <w:trHeight w:val="264"/>
              </w:trPr>
              <w:tc>
                <w:tcPr>
                  <w:tcW w:w="1963" w:type="dxa"/>
                  <w:tcBorders>
                    <w:top w:val="nil"/>
                    <w:left w:val="single" w:sz="4" w:space="0" w:color="auto"/>
                    <w:bottom w:val="single" w:sz="4" w:space="0" w:color="auto"/>
                    <w:right w:val="single" w:sz="4" w:space="0" w:color="auto"/>
                  </w:tcBorders>
                  <w:shd w:val="clear" w:color="auto" w:fill="auto"/>
                  <w:hideMark/>
                </w:tcPr>
                <w:p w14:paraId="110F55B0" w14:textId="77777777" w:rsidR="0043457C" w:rsidRPr="00F26B82" w:rsidRDefault="0043457C" w:rsidP="006748C3">
                  <w:pPr>
                    <w:jc w:val="both"/>
                    <w:rPr>
                      <w:color w:val="000000"/>
                      <w:sz w:val="22"/>
                      <w:szCs w:val="22"/>
                      <w:lang w:eastAsia="lt-LT"/>
                    </w:rPr>
                  </w:pPr>
                  <w:r w:rsidRPr="00F26B82">
                    <w:rPr>
                      <w:color w:val="000000"/>
                      <w:sz w:val="22"/>
                      <w:szCs w:val="22"/>
                      <w:lang w:eastAsia="lt-LT"/>
                    </w:rPr>
                    <w:t>Macikų SGN</w:t>
                  </w:r>
                </w:p>
              </w:tc>
              <w:tc>
                <w:tcPr>
                  <w:tcW w:w="2655" w:type="dxa"/>
                  <w:tcBorders>
                    <w:top w:val="nil"/>
                    <w:left w:val="nil"/>
                    <w:bottom w:val="single" w:sz="4" w:space="0" w:color="auto"/>
                    <w:right w:val="single" w:sz="4" w:space="0" w:color="auto"/>
                  </w:tcBorders>
                  <w:shd w:val="clear" w:color="auto" w:fill="auto"/>
                  <w:noWrap/>
                  <w:hideMark/>
                </w:tcPr>
                <w:p w14:paraId="68D9C1EF" w14:textId="77777777" w:rsidR="0043457C" w:rsidRPr="00F26B82" w:rsidRDefault="0043457C" w:rsidP="006748C3">
                  <w:pPr>
                    <w:jc w:val="both"/>
                    <w:rPr>
                      <w:color w:val="000000"/>
                      <w:sz w:val="22"/>
                      <w:szCs w:val="22"/>
                      <w:lang w:eastAsia="lt-LT"/>
                    </w:rPr>
                  </w:pPr>
                  <w:r w:rsidRPr="00F26B82">
                    <w:rPr>
                      <w:color w:val="000000"/>
                      <w:sz w:val="22"/>
                      <w:szCs w:val="22"/>
                      <w:lang w:eastAsia="lt-LT"/>
                    </w:rPr>
                    <w:t>220</w:t>
                  </w:r>
                </w:p>
              </w:tc>
              <w:tc>
                <w:tcPr>
                  <w:tcW w:w="2938" w:type="dxa"/>
                  <w:tcBorders>
                    <w:top w:val="nil"/>
                    <w:left w:val="nil"/>
                    <w:bottom w:val="single" w:sz="4" w:space="0" w:color="auto"/>
                    <w:right w:val="single" w:sz="4" w:space="0" w:color="auto"/>
                  </w:tcBorders>
                  <w:shd w:val="clear" w:color="auto" w:fill="auto"/>
                  <w:noWrap/>
                  <w:hideMark/>
                </w:tcPr>
                <w:p w14:paraId="04F1DB4C" w14:textId="77777777" w:rsidR="0043457C" w:rsidRPr="00F26B82" w:rsidRDefault="0043457C" w:rsidP="006748C3">
                  <w:pPr>
                    <w:jc w:val="both"/>
                    <w:rPr>
                      <w:color w:val="000000"/>
                      <w:sz w:val="22"/>
                      <w:szCs w:val="22"/>
                      <w:lang w:eastAsia="lt-LT"/>
                    </w:rPr>
                  </w:pPr>
                  <w:r w:rsidRPr="00F26B82">
                    <w:rPr>
                      <w:color w:val="000000"/>
                      <w:sz w:val="22"/>
                      <w:szCs w:val="22"/>
                      <w:lang w:eastAsia="lt-LT"/>
                    </w:rPr>
                    <w:t>102</w:t>
                  </w:r>
                </w:p>
              </w:tc>
              <w:tc>
                <w:tcPr>
                  <w:tcW w:w="1819" w:type="dxa"/>
                  <w:tcBorders>
                    <w:top w:val="nil"/>
                    <w:left w:val="nil"/>
                    <w:bottom w:val="single" w:sz="4" w:space="0" w:color="auto"/>
                    <w:right w:val="single" w:sz="4" w:space="0" w:color="auto"/>
                  </w:tcBorders>
                  <w:shd w:val="clear" w:color="auto" w:fill="auto"/>
                  <w:noWrap/>
                  <w:hideMark/>
                </w:tcPr>
                <w:p w14:paraId="4D76B48C" w14:textId="77777777" w:rsidR="0043457C" w:rsidRPr="00F26B82" w:rsidRDefault="0043457C" w:rsidP="006748C3">
                  <w:pPr>
                    <w:jc w:val="both"/>
                    <w:rPr>
                      <w:color w:val="000000"/>
                      <w:sz w:val="22"/>
                      <w:szCs w:val="22"/>
                      <w:lang w:eastAsia="lt-LT"/>
                    </w:rPr>
                  </w:pPr>
                  <w:r w:rsidRPr="00F26B82">
                    <w:rPr>
                      <w:color w:val="000000"/>
                      <w:sz w:val="22"/>
                      <w:szCs w:val="22"/>
                      <w:lang w:eastAsia="lt-LT"/>
                    </w:rPr>
                    <w:t>46</w:t>
                  </w:r>
                </w:p>
              </w:tc>
            </w:tr>
            <w:tr w:rsidR="0043457C" w:rsidRPr="00F26B82" w14:paraId="79C0D53D" w14:textId="77777777" w:rsidTr="0043457C">
              <w:trPr>
                <w:trHeight w:val="288"/>
              </w:trPr>
              <w:tc>
                <w:tcPr>
                  <w:tcW w:w="1963" w:type="dxa"/>
                  <w:tcBorders>
                    <w:top w:val="nil"/>
                    <w:left w:val="single" w:sz="4" w:space="0" w:color="auto"/>
                    <w:bottom w:val="single" w:sz="4" w:space="0" w:color="auto"/>
                    <w:right w:val="single" w:sz="4" w:space="0" w:color="auto"/>
                  </w:tcBorders>
                  <w:shd w:val="clear" w:color="auto" w:fill="auto"/>
                  <w:noWrap/>
                  <w:hideMark/>
                </w:tcPr>
                <w:p w14:paraId="3C1B070C" w14:textId="77777777" w:rsidR="0043457C" w:rsidRPr="00F26B82" w:rsidRDefault="0043457C" w:rsidP="006748C3">
                  <w:pPr>
                    <w:jc w:val="both"/>
                    <w:rPr>
                      <w:color w:val="000000"/>
                      <w:sz w:val="22"/>
                      <w:szCs w:val="22"/>
                      <w:lang w:eastAsia="lt-LT"/>
                    </w:rPr>
                  </w:pPr>
                  <w:r w:rsidRPr="00F26B82">
                    <w:rPr>
                      <w:color w:val="000000"/>
                      <w:sz w:val="22"/>
                      <w:szCs w:val="22"/>
                      <w:lang w:eastAsia="lt-LT"/>
                    </w:rPr>
                    <w:t>Marijampolės SGN</w:t>
                  </w:r>
                </w:p>
              </w:tc>
              <w:tc>
                <w:tcPr>
                  <w:tcW w:w="2655" w:type="dxa"/>
                  <w:tcBorders>
                    <w:top w:val="nil"/>
                    <w:left w:val="nil"/>
                    <w:bottom w:val="single" w:sz="4" w:space="0" w:color="auto"/>
                    <w:right w:val="single" w:sz="4" w:space="0" w:color="auto"/>
                  </w:tcBorders>
                  <w:shd w:val="clear" w:color="auto" w:fill="auto"/>
                  <w:noWrap/>
                  <w:hideMark/>
                </w:tcPr>
                <w:p w14:paraId="78071EDF" w14:textId="77777777" w:rsidR="0043457C" w:rsidRPr="00F26B82" w:rsidRDefault="0043457C" w:rsidP="006748C3">
                  <w:pPr>
                    <w:jc w:val="both"/>
                    <w:rPr>
                      <w:color w:val="000000"/>
                      <w:sz w:val="22"/>
                      <w:szCs w:val="22"/>
                      <w:lang w:eastAsia="lt-LT"/>
                    </w:rPr>
                  </w:pPr>
                  <w:r w:rsidRPr="00F26B82">
                    <w:rPr>
                      <w:color w:val="000000"/>
                      <w:sz w:val="22"/>
                      <w:szCs w:val="22"/>
                      <w:lang w:eastAsia="lt-LT"/>
                    </w:rPr>
                    <w:t>40</w:t>
                  </w:r>
                </w:p>
              </w:tc>
              <w:tc>
                <w:tcPr>
                  <w:tcW w:w="2938" w:type="dxa"/>
                  <w:tcBorders>
                    <w:top w:val="nil"/>
                    <w:left w:val="nil"/>
                    <w:bottom w:val="single" w:sz="4" w:space="0" w:color="auto"/>
                    <w:right w:val="single" w:sz="4" w:space="0" w:color="auto"/>
                  </w:tcBorders>
                  <w:shd w:val="clear" w:color="auto" w:fill="auto"/>
                  <w:noWrap/>
                  <w:hideMark/>
                </w:tcPr>
                <w:p w14:paraId="44385051" w14:textId="77777777" w:rsidR="0043457C" w:rsidRPr="00F26B82" w:rsidRDefault="0043457C" w:rsidP="006748C3">
                  <w:pPr>
                    <w:jc w:val="both"/>
                    <w:rPr>
                      <w:color w:val="000000"/>
                      <w:sz w:val="22"/>
                      <w:szCs w:val="22"/>
                      <w:lang w:eastAsia="lt-LT"/>
                    </w:rPr>
                  </w:pPr>
                  <w:r w:rsidRPr="00F26B82">
                    <w:rPr>
                      <w:color w:val="000000"/>
                      <w:sz w:val="22"/>
                      <w:szCs w:val="22"/>
                      <w:lang w:eastAsia="lt-LT"/>
                    </w:rPr>
                    <w:t>0</w:t>
                  </w:r>
                </w:p>
              </w:tc>
              <w:tc>
                <w:tcPr>
                  <w:tcW w:w="1819" w:type="dxa"/>
                  <w:tcBorders>
                    <w:top w:val="nil"/>
                    <w:left w:val="nil"/>
                    <w:bottom w:val="single" w:sz="4" w:space="0" w:color="auto"/>
                    <w:right w:val="single" w:sz="4" w:space="0" w:color="auto"/>
                  </w:tcBorders>
                  <w:shd w:val="clear" w:color="auto" w:fill="auto"/>
                  <w:noWrap/>
                  <w:hideMark/>
                </w:tcPr>
                <w:p w14:paraId="3F6DFE48" w14:textId="77777777" w:rsidR="0043457C" w:rsidRPr="00F26B82" w:rsidRDefault="0043457C" w:rsidP="006748C3">
                  <w:pPr>
                    <w:jc w:val="both"/>
                    <w:rPr>
                      <w:color w:val="000000"/>
                      <w:sz w:val="22"/>
                      <w:szCs w:val="22"/>
                      <w:lang w:eastAsia="lt-LT"/>
                    </w:rPr>
                  </w:pPr>
                  <w:r w:rsidRPr="00F26B82">
                    <w:rPr>
                      <w:color w:val="000000"/>
                      <w:sz w:val="22"/>
                      <w:szCs w:val="22"/>
                      <w:lang w:eastAsia="lt-LT"/>
                    </w:rPr>
                    <w:t>0</w:t>
                  </w:r>
                </w:p>
              </w:tc>
            </w:tr>
            <w:tr w:rsidR="0043457C" w:rsidRPr="00F26B82" w14:paraId="6FBD4EEF" w14:textId="77777777" w:rsidTr="0043457C">
              <w:trPr>
                <w:trHeight w:val="288"/>
              </w:trPr>
              <w:tc>
                <w:tcPr>
                  <w:tcW w:w="1963" w:type="dxa"/>
                  <w:tcBorders>
                    <w:top w:val="nil"/>
                    <w:left w:val="single" w:sz="4" w:space="0" w:color="auto"/>
                    <w:bottom w:val="single" w:sz="4" w:space="0" w:color="auto"/>
                    <w:right w:val="single" w:sz="4" w:space="0" w:color="auto"/>
                  </w:tcBorders>
                  <w:shd w:val="clear" w:color="auto" w:fill="auto"/>
                  <w:noWrap/>
                  <w:hideMark/>
                </w:tcPr>
                <w:p w14:paraId="75C17121" w14:textId="77777777" w:rsidR="0043457C" w:rsidRPr="00F26B82" w:rsidRDefault="0043457C" w:rsidP="006748C3">
                  <w:pPr>
                    <w:jc w:val="both"/>
                    <w:rPr>
                      <w:color w:val="000000"/>
                      <w:sz w:val="22"/>
                      <w:szCs w:val="22"/>
                      <w:lang w:eastAsia="lt-LT"/>
                    </w:rPr>
                  </w:pPr>
                  <w:r w:rsidRPr="00F26B82">
                    <w:rPr>
                      <w:color w:val="000000"/>
                      <w:sz w:val="22"/>
                      <w:szCs w:val="22"/>
                      <w:lang w:eastAsia="lt-LT"/>
                    </w:rPr>
                    <w:t>N. Genytės SGN</w:t>
                  </w:r>
                </w:p>
              </w:tc>
              <w:tc>
                <w:tcPr>
                  <w:tcW w:w="2655" w:type="dxa"/>
                  <w:tcBorders>
                    <w:top w:val="nil"/>
                    <w:left w:val="nil"/>
                    <w:bottom w:val="single" w:sz="4" w:space="0" w:color="auto"/>
                    <w:right w:val="single" w:sz="4" w:space="0" w:color="auto"/>
                  </w:tcBorders>
                  <w:shd w:val="clear" w:color="auto" w:fill="auto"/>
                  <w:noWrap/>
                  <w:hideMark/>
                </w:tcPr>
                <w:p w14:paraId="2D5E1D5D" w14:textId="77777777" w:rsidR="0043457C" w:rsidRPr="00F26B82" w:rsidRDefault="0043457C" w:rsidP="006748C3">
                  <w:pPr>
                    <w:jc w:val="both"/>
                    <w:rPr>
                      <w:color w:val="000000"/>
                      <w:sz w:val="22"/>
                      <w:szCs w:val="22"/>
                      <w:lang w:eastAsia="lt-LT"/>
                    </w:rPr>
                  </w:pPr>
                  <w:r w:rsidRPr="00F26B82">
                    <w:rPr>
                      <w:color w:val="000000"/>
                      <w:sz w:val="22"/>
                      <w:szCs w:val="22"/>
                      <w:lang w:eastAsia="lt-LT"/>
                    </w:rPr>
                    <w:t>148</w:t>
                  </w:r>
                </w:p>
              </w:tc>
              <w:tc>
                <w:tcPr>
                  <w:tcW w:w="2938" w:type="dxa"/>
                  <w:tcBorders>
                    <w:top w:val="nil"/>
                    <w:left w:val="nil"/>
                    <w:bottom w:val="single" w:sz="4" w:space="0" w:color="auto"/>
                    <w:right w:val="single" w:sz="4" w:space="0" w:color="auto"/>
                  </w:tcBorders>
                  <w:shd w:val="clear" w:color="auto" w:fill="auto"/>
                  <w:noWrap/>
                  <w:hideMark/>
                </w:tcPr>
                <w:p w14:paraId="0E99316F" w14:textId="77777777" w:rsidR="0043457C" w:rsidRPr="00F26B82" w:rsidRDefault="0043457C" w:rsidP="006748C3">
                  <w:pPr>
                    <w:jc w:val="both"/>
                    <w:rPr>
                      <w:color w:val="000000"/>
                      <w:sz w:val="22"/>
                      <w:szCs w:val="22"/>
                      <w:lang w:eastAsia="lt-LT"/>
                    </w:rPr>
                  </w:pPr>
                  <w:r w:rsidRPr="00F26B82">
                    <w:rPr>
                      <w:color w:val="000000"/>
                      <w:sz w:val="22"/>
                      <w:szCs w:val="22"/>
                      <w:lang w:eastAsia="lt-LT"/>
                    </w:rPr>
                    <w:t>148</w:t>
                  </w:r>
                </w:p>
              </w:tc>
              <w:tc>
                <w:tcPr>
                  <w:tcW w:w="1819" w:type="dxa"/>
                  <w:tcBorders>
                    <w:top w:val="nil"/>
                    <w:left w:val="nil"/>
                    <w:bottom w:val="single" w:sz="4" w:space="0" w:color="auto"/>
                    <w:right w:val="single" w:sz="4" w:space="0" w:color="auto"/>
                  </w:tcBorders>
                  <w:shd w:val="clear" w:color="auto" w:fill="auto"/>
                  <w:noWrap/>
                  <w:hideMark/>
                </w:tcPr>
                <w:p w14:paraId="260A2F17" w14:textId="77777777" w:rsidR="0043457C" w:rsidRPr="00F26B82" w:rsidRDefault="0043457C" w:rsidP="006748C3">
                  <w:pPr>
                    <w:jc w:val="both"/>
                    <w:rPr>
                      <w:color w:val="000000"/>
                      <w:sz w:val="22"/>
                      <w:szCs w:val="22"/>
                      <w:lang w:eastAsia="lt-LT"/>
                    </w:rPr>
                  </w:pPr>
                  <w:r w:rsidRPr="00F26B82">
                    <w:rPr>
                      <w:color w:val="000000"/>
                      <w:sz w:val="22"/>
                      <w:szCs w:val="22"/>
                      <w:lang w:eastAsia="lt-LT"/>
                    </w:rPr>
                    <w:t>100</w:t>
                  </w:r>
                </w:p>
              </w:tc>
            </w:tr>
            <w:tr w:rsidR="0043457C" w:rsidRPr="00F26B82" w14:paraId="763D5D2B" w14:textId="77777777" w:rsidTr="0043457C">
              <w:trPr>
                <w:trHeight w:val="235"/>
              </w:trPr>
              <w:tc>
                <w:tcPr>
                  <w:tcW w:w="1963" w:type="dxa"/>
                  <w:tcBorders>
                    <w:top w:val="nil"/>
                    <w:left w:val="single" w:sz="4" w:space="0" w:color="auto"/>
                    <w:bottom w:val="single" w:sz="4" w:space="0" w:color="auto"/>
                    <w:right w:val="single" w:sz="4" w:space="0" w:color="auto"/>
                  </w:tcBorders>
                  <w:shd w:val="clear" w:color="auto" w:fill="auto"/>
                  <w:hideMark/>
                </w:tcPr>
                <w:p w14:paraId="4FA92026" w14:textId="77777777" w:rsidR="0043457C" w:rsidRPr="00F26B82" w:rsidRDefault="0043457C" w:rsidP="006748C3">
                  <w:pPr>
                    <w:jc w:val="both"/>
                    <w:rPr>
                      <w:color w:val="000000"/>
                      <w:sz w:val="22"/>
                      <w:szCs w:val="22"/>
                      <w:lang w:eastAsia="lt-LT"/>
                    </w:rPr>
                  </w:pPr>
                  <w:r w:rsidRPr="00F26B82">
                    <w:rPr>
                      <w:color w:val="000000"/>
                      <w:sz w:val="22"/>
                      <w:szCs w:val="22"/>
                      <w:lang w:eastAsia="lt-LT"/>
                    </w:rPr>
                    <w:t>Padvarių SGN</w:t>
                  </w:r>
                </w:p>
              </w:tc>
              <w:tc>
                <w:tcPr>
                  <w:tcW w:w="2655" w:type="dxa"/>
                  <w:tcBorders>
                    <w:top w:val="nil"/>
                    <w:left w:val="nil"/>
                    <w:bottom w:val="single" w:sz="4" w:space="0" w:color="auto"/>
                    <w:right w:val="single" w:sz="4" w:space="0" w:color="auto"/>
                  </w:tcBorders>
                  <w:shd w:val="clear" w:color="auto" w:fill="auto"/>
                  <w:noWrap/>
                  <w:hideMark/>
                </w:tcPr>
                <w:p w14:paraId="7C74ED83" w14:textId="77777777" w:rsidR="0043457C" w:rsidRPr="00F26B82" w:rsidRDefault="0043457C" w:rsidP="006748C3">
                  <w:pPr>
                    <w:jc w:val="both"/>
                    <w:rPr>
                      <w:color w:val="000000"/>
                      <w:sz w:val="22"/>
                      <w:szCs w:val="22"/>
                      <w:lang w:eastAsia="lt-LT"/>
                    </w:rPr>
                  </w:pPr>
                  <w:r w:rsidRPr="00F26B82">
                    <w:rPr>
                      <w:color w:val="000000"/>
                      <w:sz w:val="22"/>
                      <w:szCs w:val="22"/>
                      <w:lang w:eastAsia="lt-LT"/>
                    </w:rPr>
                    <w:t>149</w:t>
                  </w:r>
                </w:p>
              </w:tc>
              <w:tc>
                <w:tcPr>
                  <w:tcW w:w="2938" w:type="dxa"/>
                  <w:tcBorders>
                    <w:top w:val="nil"/>
                    <w:left w:val="nil"/>
                    <w:bottom w:val="single" w:sz="4" w:space="0" w:color="auto"/>
                    <w:right w:val="single" w:sz="4" w:space="0" w:color="auto"/>
                  </w:tcBorders>
                  <w:shd w:val="clear" w:color="auto" w:fill="auto"/>
                  <w:noWrap/>
                  <w:hideMark/>
                </w:tcPr>
                <w:p w14:paraId="2CC8B3D3" w14:textId="77777777" w:rsidR="0043457C" w:rsidRPr="00F26B82" w:rsidRDefault="0043457C" w:rsidP="006748C3">
                  <w:pPr>
                    <w:jc w:val="both"/>
                    <w:rPr>
                      <w:color w:val="000000"/>
                      <w:sz w:val="22"/>
                      <w:szCs w:val="22"/>
                      <w:lang w:eastAsia="lt-LT"/>
                    </w:rPr>
                  </w:pPr>
                  <w:r w:rsidRPr="00F26B82">
                    <w:rPr>
                      <w:color w:val="000000"/>
                      <w:sz w:val="22"/>
                      <w:szCs w:val="22"/>
                      <w:lang w:eastAsia="lt-LT"/>
                    </w:rPr>
                    <w:t>44</w:t>
                  </w:r>
                </w:p>
              </w:tc>
              <w:tc>
                <w:tcPr>
                  <w:tcW w:w="1819" w:type="dxa"/>
                  <w:tcBorders>
                    <w:top w:val="nil"/>
                    <w:left w:val="nil"/>
                    <w:bottom w:val="single" w:sz="4" w:space="0" w:color="auto"/>
                    <w:right w:val="single" w:sz="4" w:space="0" w:color="auto"/>
                  </w:tcBorders>
                  <w:shd w:val="clear" w:color="auto" w:fill="auto"/>
                  <w:noWrap/>
                  <w:hideMark/>
                </w:tcPr>
                <w:p w14:paraId="2AA77B99" w14:textId="77777777" w:rsidR="0043457C" w:rsidRPr="00F26B82" w:rsidRDefault="0043457C" w:rsidP="006748C3">
                  <w:pPr>
                    <w:jc w:val="both"/>
                    <w:rPr>
                      <w:color w:val="000000"/>
                      <w:sz w:val="22"/>
                      <w:szCs w:val="22"/>
                      <w:lang w:eastAsia="lt-LT"/>
                    </w:rPr>
                  </w:pPr>
                  <w:r w:rsidRPr="00F26B82">
                    <w:rPr>
                      <w:color w:val="000000"/>
                      <w:sz w:val="22"/>
                      <w:szCs w:val="22"/>
                      <w:lang w:eastAsia="lt-LT"/>
                    </w:rPr>
                    <w:t>30</w:t>
                  </w:r>
                </w:p>
              </w:tc>
            </w:tr>
            <w:tr w:rsidR="0043457C" w:rsidRPr="00F26B82" w14:paraId="3E7A1BFB" w14:textId="77777777" w:rsidTr="0043457C">
              <w:trPr>
                <w:trHeight w:val="288"/>
              </w:trPr>
              <w:tc>
                <w:tcPr>
                  <w:tcW w:w="1963" w:type="dxa"/>
                  <w:tcBorders>
                    <w:top w:val="nil"/>
                    <w:left w:val="single" w:sz="4" w:space="0" w:color="auto"/>
                    <w:bottom w:val="single" w:sz="4" w:space="0" w:color="auto"/>
                    <w:right w:val="single" w:sz="4" w:space="0" w:color="auto"/>
                  </w:tcBorders>
                  <w:shd w:val="clear" w:color="auto" w:fill="auto"/>
                  <w:noWrap/>
                  <w:hideMark/>
                </w:tcPr>
                <w:p w14:paraId="2B2C2A7E" w14:textId="77777777" w:rsidR="0043457C" w:rsidRPr="00F26B82" w:rsidRDefault="0043457C" w:rsidP="006748C3">
                  <w:pPr>
                    <w:jc w:val="both"/>
                    <w:rPr>
                      <w:color w:val="000000"/>
                      <w:sz w:val="22"/>
                      <w:szCs w:val="22"/>
                      <w:lang w:eastAsia="lt-LT"/>
                    </w:rPr>
                  </w:pPr>
                  <w:r w:rsidRPr="00F26B82">
                    <w:rPr>
                      <w:color w:val="000000"/>
                      <w:sz w:val="22"/>
                      <w:szCs w:val="22"/>
                      <w:lang w:eastAsia="lt-LT"/>
                    </w:rPr>
                    <w:t>Prūdiškių SGN</w:t>
                  </w:r>
                </w:p>
              </w:tc>
              <w:tc>
                <w:tcPr>
                  <w:tcW w:w="2655" w:type="dxa"/>
                  <w:tcBorders>
                    <w:top w:val="nil"/>
                    <w:left w:val="nil"/>
                    <w:bottom w:val="single" w:sz="4" w:space="0" w:color="auto"/>
                    <w:right w:val="single" w:sz="4" w:space="0" w:color="auto"/>
                  </w:tcBorders>
                  <w:shd w:val="clear" w:color="auto" w:fill="auto"/>
                  <w:noWrap/>
                  <w:hideMark/>
                </w:tcPr>
                <w:p w14:paraId="7D76373F" w14:textId="77777777" w:rsidR="0043457C" w:rsidRPr="00F26B82" w:rsidRDefault="0043457C" w:rsidP="006748C3">
                  <w:pPr>
                    <w:jc w:val="both"/>
                    <w:rPr>
                      <w:color w:val="000000"/>
                      <w:sz w:val="22"/>
                      <w:szCs w:val="22"/>
                      <w:lang w:eastAsia="lt-LT"/>
                    </w:rPr>
                  </w:pPr>
                  <w:r w:rsidRPr="00F26B82">
                    <w:rPr>
                      <w:color w:val="000000"/>
                      <w:sz w:val="22"/>
                      <w:szCs w:val="22"/>
                      <w:lang w:eastAsia="lt-LT"/>
                    </w:rPr>
                    <w:t>146</w:t>
                  </w:r>
                </w:p>
              </w:tc>
              <w:tc>
                <w:tcPr>
                  <w:tcW w:w="2938" w:type="dxa"/>
                  <w:tcBorders>
                    <w:top w:val="nil"/>
                    <w:left w:val="nil"/>
                    <w:bottom w:val="single" w:sz="4" w:space="0" w:color="auto"/>
                    <w:right w:val="single" w:sz="4" w:space="0" w:color="auto"/>
                  </w:tcBorders>
                  <w:shd w:val="clear" w:color="auto" w:fill="auto"/>
                  <w:noWrap/>
                  <w:hideMark/>
                </w:tcPr>
                <w:p w14:paraId="3B325769" w14:textId="77777777" w:rsidR="0043457C" w:rsidRPr="00F26B82" w:rsidRDefault="0043457C" w:rsidP="006748C3">
                  <w:pPr>
                    <w:jc w:val="both"/>
                    <w:rPr>
                      <w:color w:val="000000"/>
                      <w:sz w:val="22"/>
                      <w:szCs w:val="22"/>
                      <w:lang w:eastAsia="lt-LT"/>
                    </w:rPr>
                  </w:pPr>
                  <w:r w:rsidRPr="00F26B82">
                    <w:rPr>
                      <w:color w:val="000000"/>
                      <w:sz w:val="22"/>
                      <w:szCs w:val="22"/>
                      <w:lang w:eastAsia="lt-LT"/>
                    </w:rPr>
                    <w:t>89</w:t>
                  </w:r>
                </w:p>
              </w:tc>
              <w:tc>
                <w:tcPr>
                  <w:tcW w:w="1819" w:type="dxa"/>
                  <w:tcBorders>
                    <w:top w:val="nil"/>
                    <w:left w:val="nil"/>
                    <w:bottom w:val="single" w:sz="4" w:space="0" w:color="auto"/>
                    <w:right w:val="single" w:sz="4" w:space="0" w:color="auto"/>
                  </w:tcBorders>
                  <w:shd w:val="clear" w:color="auto" w:fill="auto"/>
                  <w:noWrap/>
                  <w:hideMark/>
                </w:tcPr>
                <w:p w14:paraId="155023CD" w14:textId="77777777" w:rsidR="0043457C" w:rsidRPr="00F26B82" w:rsidRDefault="0043457C" w:rsidP="006748C3">
                  <w:pPr>
                    <w:jc w:val="both"/>
                    <w:rPr>
                      <w:color w:val="000000"/>
                      <w:sz w:val="22"/>
                      <w:szCs w:val="22"/>
                      <w:lang w:eastAsia="lt-LT"/>
                    </w:rPr>
                  </w:pPr>
                  <w:r w:rsidRPr="00F26B82">
                    <w:rPr>
                      <w:color w:val="000000"/>
                      <w:sz w:val="22"/>
                      <w:szCs w:val="22"/>
                      <w:lang w:eastAsia="lt-LT"/>
                    </w:rPr>
                    <w:t>61</w:t>
                  </w:r>
                </w:p>
              </w:tc>
            </w:tr>
            <w:tr w:rsidR="0043457C" w:rsidRPr="00F26B82" w14:paraId="17E0D36E" w14:textId="77777777" w:rsidTr="0043457C">
              <w:trPr>
                <w:trHeight w:val="215"/>
              </w:trPr>
              <w:tc>
                <w:tcPr>
                  <w:tcW w:w="1963" w:type="dxa"/>
                  <w:tcBorders>
                    <w:top w:val="nil"/>
                    <w:left w:val="single" w:sz="4" w:space="0" w:color="auto"/>
                    <w:bottom w:val="single" w:sz="4" w:space="0" w:color="auto"/>
                    <w:right w:val="single" w:sz="4" w:space="0" w:color="auto"/>
                  </w:tcBorders>
                  <w:shd w:val="clear" w:color="auto" w:fill="auto"/>
                  <w:hideMark/>
                </w:tcPr>
                <w:p w14:paraId="6D9041F9" w14:textId="77777777" w:rsidR="0043457C" w:rsidRPr="00F26B82" w:rsidRDefault="0043457C" w:rsidP="006748C3">
                  <w:pPr>
                    <w:jc w:val="both"/>
                    <w:rPr>
                      <w:color w:val="000000"/>
                      <w:sz w:val="22"/>
                      <w:szCs w:val="22"/>
                      <w:lang w:eastAsia="lt-LT"/>
                    </w:rPr>
                  </w:pPr>
                  <w:r w:rsidRPr="00F26B82">
                    <w:rPr>
                      <w:color w:val="000000"/>
                      <w:sz w:val="22"/>
                      <w:szCs w:val="22"/>
                      <w:lang w:eastAsia="lt-LT"/>
                    </w:rPr>
                    <w:t>Skemų SGN</w:t>
                  </w:r>
                </w:p>
              </w:tc>
              <w:tc>
                <w:tcPr>
                  <w:tcW w:w="2655" w:type="dxa"/>
                  <w:tcBorders>
                    <w:top w:val="nil"/>
                    <w:left w:val="nil"/>
                    <w:bottom w:val="single" w:sz="4" w:space="0" w:color="auto"/>
                    <w:right w:val="single" w:sz="4" w:space="0" w:color="auto"/>
                  </w:tcBorders>
                  <w:shd w:val="clear" w:color="auto" w:fill="auto"/>
                  <w:noWrap/>
                  <w:hideMark/>
                </w:tcPr>
                <w:p w14:paraId="796D9F7C" w14:textId="77777777" w:rsidR="0043457C" w:rsidRPr="00F26B82" w:rsidRDefault="0043457C" w:rsidP="006748C3">
                  <w:pPr>
                    <w:jc w:val="both"/>
                    <w:rPr>
                      <w:color w:val="000000"/>
                      <w:sz w:val="22"/>
                      <w:szCs w:val="22"/>
                      <w:lang w:eastAsia="lt-LT"/>
                    </w:rPr>
                  </w:pPr>
                  <w:r w:rsidRPr="00F26B82">
                    <w:rPr>
                      <w:color w:val="000000"/>
                      <w:sz w:val="22"/>
                      <w:szCs w:val="22"/>
                      <w:lang w:eastAsia="lt-LT"/>
                    </w:rPr>
                    <w:t>200</w:t>
                  </w:r>
                </w:p>
              </w:tc>
              <w:tc>
                <w:tcPr>
                  <w:tcW w:w="2938" w:type="dxa"/>
                  <w:tcBorders>
                    <w:top w:val="nil"/>
                    <w:left w:val="nil"/>
                    <w:bottom w:val="single" w:sz="4" w:space="0" w:color="auto"/>
                    <w:right w:val="single" w:sz="4" w:space="0" w:color="auto"/>
                  </w:tcBorders>
                  <w:shd w:val="clear" w:color="auto" w:fill="auto"/>
                  <w:noWrap/>
                  <w:hideMark/>
                </w:tcPr>
                <w:p w14:paraId="7D8C5EC4" w14:textId="77777777" w:rsidR="0043457C" w:rsidRPr="00F26B82" w:rsidRDefault="0043457C" w:rsidP="006748C3">
                  <w:pPr>
                    <w:jc w:val="both"/>
                    <w:rPr>
                      <w:color w:val="000000"/>
                      <w:sz w:val="22"/>
                      <w:szCs w:val="22"/>
                      <w:lang w:eastAsia="lt-LT"/>
                    </w:rPr>
                  </w:pPr>
                  <w:r w:rsidRPr="00F26B82">
                    <w:rPr>
                      <w:color w:val="000000"/>
                      <w:sz w:val="22"/>
                      <w:szCs w:val="22"/>
                      <w:lang w:eastAsia="lt-LT"/>
                    </w:rPr>
                    <w:t>96</w:t>
                  </w:r>
                </w:p>
              </w:tc>
              <w:tc>
                <w:tcPr>
                  <w:tcW w:w="1819" w:type="dxa"/>
                  <w:tcBorders>
                    <w:top w:val="nil"/>
                    <w:left w:val="nil"/>
                    <w:bottom w:val="single" w:sz="4" w:space="0" w:color="auto"/>
                    <w:right w:val="single" w:sz="4" w:space="0" w:color="auto"/>
                  </w:tcBorders>
                  <w:shd w:val="clear" w:color="auto" w:fill="auto"/>
                  <w:noWrap/>
                  <w:hideMark/>
                </w:tcPr>
                <w:p w14:paraId="0D1C75D3" w14:textId="77777777" w:rsidR="0043457C" w:rsidRPr="00F26B82" w:rsidRDefault="0043457C" w:rsidP="006748C3">
                  <w:pPr>
                    <w:jc w:val="both"/>
                    <w:rPr>
                      <w:color w:val="000000"/>
                      <w:sz w:val="22"/>
                      <w:szCs w:val="22"/>
                      <w:lang w:eastAsia="lt-LT"/>
                    </w:rPr>
                  </w:pPr>
                  <w:r w:rsidRPr="00F26B82">
                    <w:rPr>
                      <w:color w:val="000000"/>
                      <w:sz w:val="22"/>
                      <w:szCs w:val="22"/>
                      <w:lang w:eastAsia="lt-LT"/>
                    </w:rPr>
                    <w:t>48</w:t>
                  </w:r>
                </w:p>
              </w:tc>
            </w:tr>
            <w:tr w:rsidR="0043457C" w:rsidRPr="00F26B82" w14:paraId="14CA7717" w14:textId="77777777" w:rsidTr="0043457C">
              <w:trPr>
                <w:trHeight w:val="288"/>
              </w:trPr>
              <w:tc>
                <w:tcPr>
                  <w:tcW w:w="1963" w:type="dxa"/>
                  <w:tcBorders>
                    <w:top w:val="nil"/>
                    <w:left w:val="single" w:sz="4" w:space="0" w:color="auto"/>
                    <w:bottom w:val="single" w:sz="4" w:space="0" w:color="auto"/>
                    <w:right w:val="single" w:sz="4" w:space="0" w:color="auto"/>
                  </w:tcBorders>
                  <w:shd w:val="clear" w:color="auto" w:fill="auto"/>
                  <w:noWrap/>
                  <w:hideMark/>
                </w:tcPr>
                <w:p w14:paraId="271BEA25" w14:textId="77777777" w:rsidR="0043457C" w:rsidRPr="00F26B82" w:rsidRDefault="0043457C" w:rsidP="006748C3">
                  <w:pPr>
                    <w:jc w:val="both"/>
                    <w:rPr>
                      <w:color w:val="000000"/>
                      <w:sz w:val="22"/>
                      <w:szCs w:val="22"/>
                      <w:lang w:eastAsia="lt-LT"/>
                    </w:rPr>
                  </w:pPr>
                  <w:r w:rsidRPr="00F26B82">
                    <w:rPr>
                      <w:color w:val="000000"/>
                      <w:sz w:val="22"/>
                      <w:szCs w:val="22"/>
                      <w:lang w:eastAsia="lt-LT"/>
                    </w:rPr>
                    <w:t>Stonaičių SGN</w:t>
                  </w:r>
                </w:p>
              </w:tc>
              <w:tc>
                <w:tcPr>
                  <w:tcW w:w="2655" w:type="dxa"/>
                  <w:tcBorders>
                    <w:top w:val="nil"/>
                    <w:left w:val="nil"/>
                    <w:bottom w:val="single" w:sz="4" w:space="0" w:color="auto"/>
                    <w:right w:val="single" w:sz="4" w:space="0" w:color="auto"/>
                  </w:tcBorders>
                  <w:shd w:val="clear" w:color="auto" w:fill="auto"/>
                  <w:noWrap/>
                  <w:hideMark/>
                </w:tcPr>
                <w:p w14:paraId="0FE7640F" w14:textId="77777777" w:rsidR="0043457C" w:rsidRPr="00F26B82" w:rsidRDefault="0043457C" w:rsidP="006748C3">
                  <w:pPr>
                    <w:jc w:val="both"/>
                    <w:rPr>
                      <w:color w:val="000000"/>
                      <w:sz w:val="22"/>
                      <w:szCs w:val="22"/>
                      <w:lang w:eastAsia="lt-LT"/>
                    </w:rPr>
                  </w:pPr>
                  <w:r w:rsidRPr="00F26B82">
                    <w:rPr>
                      <w:color w:val="000000"/>
                      <w:sz w:val="22"/>
                      <w:szCs w:val="22"/>
                      <w:lang w:eastAsia="lt-LT"/>
                    </w:rPr>
                    <w:t>100</w:t>
                  </w:r>
                </w:p>
              </w:tc>
              <w:tc>
                <w:tcPr>
                  <w:tcW w:w="2938" w:type="dxa"/>
                  <w:tcBorders>
                    <w:top w:val="nil"/>
                    <w:left w:val="nil"/>
                    <w:bottom w:val="single" w:sz="4" w:space="0" w:color="auto"/>
                    <w:right w:val="single" w:sz="4" w:space="0" w:color="auto"/>
                  </w:tcBorders>
                  <w:shd w:val="clear" w:color="auto" w:fill="auto"/>
                  <w:noWrap/>
                  <w:hideMark/>
                </w:tcPr>
                <w:p w14:paraId="3AF6511E" w14:textId="77777777" w:rsidR="0043457C" w:rsidRPr="00F26B82" w:rsidRDefault="0043457C" w:rsidP="006748C3">
                  <w:pPr>
                    <w:jc w:val="both"/>
                    <w:rPr>
                      <w:color w:val="000000"/>
                      <w:sz w:val="22"/>
                      <w:szCs w:val="22"/>
                      <w:lang w:eastAsia="lt-LT"/>
                    </w:rPr>
                  </w:pPr>
                  <w:r w:rsidRPr="00F26B82">
                    <w:rPr>
                      <w:color w:val="000000"/>
                      <w:sz w:val="22"/>
                      <w:szCs w:val="22"/>
                      <w:lang w:eastAsia="lt-LT"/>
                    </w:rPr>
                    <w:t>60</w:t>
                  </w:r>
                </w:p>
              </w:tc>
              <w:tc>
                <w:tcPr>
                  <w:tcW w:w="1819" w:type="dxa"/>
                  <w:tcBorders>
                    <w:top w:val="nil"/>
                    <w:left w:val="nil"/>
                    <w:bottom w:val="single" w:sz="4" w:space="0" w:color="auto"/>
                    <w:right w:val="single" w:sz="4" w:space="0" w:color="auto"/>
                  </w:tcBorders>
                  <w:shd w:val="clear" w:color="auto" w:fill="auto"/>
                  <w:noWrap/>
                  <w:hideMark/>
                </w:tcPr>
                <w:p w14:paraId="1692B22F" w14:textId="77777777" w:rsidR="0043457C" w:rsidRPr="00F26B82" w:rsidRDefault="0043457C" w:rsidP="006748C3">
                  <w:pPr>
                    <w:jc w:val="both"/>
                    <w:rPr>
                      <w:color w:val="000000"/>
                      <w:sz w:val="22"/>
                      <w:szCs w:val="22"/>
                      <w:lang w:eastAsia="lt-LT"/>
                    </w:rPr>
                  </w:pPr>
                  <w:r w:rsidRPr="00F26B82">
                    <w:rPr>
                      <w:color w:val="000000"/>
                      <w:sz w:val="22"/>
                      <w:szCs w:val="22"/>
                      <w:lang w:eastAsia="lt-LT"/>
                    </w:rPr>
                    <w:t>60</w:t>
                  </w:r>
                </w:p>
              </w:tc>
            </w:tr>
            <w:tr w:rsidR="0043457C" w:rsidRPr="00F26B82" w14:paraId="78113FC2" w14:textId="77777777" w:rsidTr="0043457C">
              <w:trPr>
                <w:trHeight w:val="288"/>
              </w:trPr>
              <w:tc>
                <w:tcPr>
                  <w:tcW w:w="1963" w:type="dxa"/>
                  <w:tcBorders>
                    <w:top w:val="nil"/>
                    <w:left w:val="single" w:sz="4" w:space="0" w:color="auto"/>
                    <w:bottom w:val="single" w:sz="4" w:space="0" w:color="auto"/>
                    <w:right w:val="single" w:sz="4" w:space="0" w:color="auto"/>
                  </w:tcBorders>
                  <w:shd w:val="clear" w:color="auto" w:fill="auto"/>
                  <w:noWrap/>
                  <w:hideMark/>
                </w:tcPr>
                <w:p w14:paraId="364761CE" w14:textId="77777777" w:rsidR="0043457C" w:rsidRPr="00F26B82" w:rsidRDefault="0043457C" w:rsidP="006748C3">
                  <w:pPr>
                    <w:jc w:val="both"/>
                    <w:rPr>
                      <w:color w:val="000000"/>
                      <w:sz w:val="22"/>
                      <w:szCs w:val="22"/>
                      <w:lang w:eastAsia="lt-LT"/>
                    </w:rPr>
                  </w:pPr>
                  <w:r w:rsidRPr="00F26B82">
                    <w:rPr>
                      <w:color w:val="000000"/>
                      <w:sz w:val="22"/>
                      <w:szCs w:val="22"/>
                      <w:lang w:eastAsia="lt-LT"/>
                    </w:rPr>
                    <w:t>Suvalkijos SGN</w:t>
                  </w:r>
                </w:p>
              </w:tc>
              <w:tc>
                <w:tcPr>
                  <w:tcW w:w="2655" w:type="dxa"/>
                  <w:tcBorders>
                    <w:top w:val="nil"/>
                    <w:left w:val="nil"/>
                    <w:bottom w:val="single" w:sz="4" w:space="0" w:color="auto"/>
                    <w:right w:val="single" w:sz="4" w:space="0" w:color="auto"/>
                  </w:tcBorders>
                  <w:shd w:val="clear" w:color="auto" w:fill="auto"/>
                  <w:noWrap/>
                  <w:hideMark/>
                </w:tcPr>
                <w:p w14:paraId="27DB35B1" w14:textId="77777777" w:rsidR="0043457C" w:rsidRPr="00F26B82" w:rsidRDefault="0043457C" w:rsidP="006748C3">
                  <w:pPr>
                    <w:jc w:val="both"/>
                    <w:rPr>
                      <w:color w:val="000000"/>
                      <w:sz w:val="22"/>
                      <w:szCs w:val="22"/>
                      <w:lang w:eastAsia="lt-LT"/>
                    </w:rPr>
                  </w:pPr>
                  <w:r w:rsidRPr="00F26B82">
                    <w:rPr>
                      <w:color w:val="000000"/>
                      <w:sz w:val="22"/>
                      <w:szCs w:val="22"/>
                      <w:lang w:eastAsia="lt-LT"/>
                    </w:rPr>
                    <w:t>70</w:t>
                  </w:r>
                </w:p>
              </w:tc>
              <w:tc>
                <w:tcPr>
                  <w:tcW w:w="2938" w:type="dxa"/>
                  <w:tcBorders>
                    <w:top w:val="nil"/>
                    <w:left w:val="nil"/>
                    <w:bottom w:val="single" w:sz="4" w:space="0" w:color="auto"/>
                    <w:right w:val="single" w:sz="4" w:space="0" w:color="auto"/>
                  </w:tcBorders>
                  <w:shd w:val="clear" w:color="auto" w:fill="auto"/>
                  <w:noWrap/>
                  <w:hideMark/>
                </w:tcPr>
                <w:p w14:paraId="1FA79A8C" w14:textId="77777777" w:rsidR="0043457C" w:rsidRPr="00F26B82" w:rsidRDefault="0043457C" w:rsidP="006748C3">
                  <w:pPr>
                    <w:jc w:val="both"/>
                    <w:rPr>
                      <w:color w:val="000000"/>
                      <w:sz w:val="22"/>
                      <w:szCs w:val="22"/>
                      <w:lang w:eastAsia="lt-LT"/>
                    </w:rPr>
                  </w:pPr>
                  <w:r w:rsidRPr="00F26B82">
                    <w:rPr>
                      <w:color w:val="000000"/>
                      <w:sz w:val="22"/>
                      <w:szCs w:val="22"/>
                      <w:lang w:eastAsia="lt-LT"/>
                    </w:rPr>
                    <w:t>7</w:t>
                  </w:r>
                </w:p>
              </w:tc>
              <w:tc>
                <w:tcPr>
                  <w:tcW w:w="1819" w:type="dxa"/>
                  <w:tcBorders>
                    <w:top w:val="nil"/>
                    <w:left w:val="nil"/>
                    <w:bottom w:val="single" w:sz="4" w:space="0" w:color="auto"/>
                    <w:right w:val="single" w:sz="4" w:space="0" w:color="auto"/>
                  </w:tcBorders>
                  <w:shd w:val="clear" w:color="auto" w:fill="auto"/>
                  <w:noWrap/>
                  <w:hideMark/>
                </w:tcPr>
                <w:p w14:paraId="7BE0BF21" w14:textId="77777777" w:rsidR="0043457C" w:rsidRPr="00F26B82" w:rsidRDefault="0043457C" w:rsidP="006748C3">
                  <w:pPr>
                    <w:jc w:val="both"/>
                    <w:rPr>
                      <w:color w:val="000000"/>
                      <w:sz w:val="22"/>
                      <w:szCs w:val="22"/>
                      <w:lang w:eastAsia="lt-LT"/>
                    </w:rPr>
                  </w:pPr>
                  <w:r w:rsidRPr="00F26B82">
                    <w:rPr>
                      <w:color w:val="000000"/>
                      <w:sz w:val="22"/>
                      <w:szCs w:val="22"/>
                      <w:lang w:eastAsia="lt-LT"/>
                    </w:rPr>
                    <w:t>10</w:t>
                  </w:r>
                </w:p>
              </w:tc>
            </w:tr>
            <w:tr w:rsidR="0043457C" w:rsidRPr="00F26B82" w14:paraId="170C7802" w14:textId="77777777" w:rsidTr="0043457C">
              <w:trPr>
                <w:trHeight w:val="288"/>
              </w:trPr>
              <w:tc>
                <w:tcPr>
                  <w:tcW w:w="1963" w:type="dxa"/>
                  <w:tcBorders>
                    <w:top w:val="nil"/>
                    <w:left w:val="single" w:sz="4" w:space="0" w:color="auto"/>
                    <w:bottom w:val="single" w:sz="4" w:space="0" w:color="auto"/>
                    <w:right w:val="single" w:sz="4" w:space="0" w:color="auto"/>
                  </w:tcBorders>
                  <w:shd w:val="clear" w:color="auto" w:fill="auto"/>
                  <w:noWrap/>
                  <w:hideMark/>
                </w:tcPr>
                <w:p w14:paraId="48C7EF89" w14:textId="77777777" w:rsidR="0043457C" w:rsidRPr="00F26B82" w:rsidRDefault="0043457C" w:rsidP="006748C3">
                  <w:pPr>
                    <w:jc w:val="both"/>
                    <w:rPr>
                      <w:color w:val="000000"/>
                      <w:sz w:val="22"/>
                      <w:szCs w:val="22"/>
                      <w:lang w:eastAsia="lt-LT"/>
                    </w:rPr>
                  </w:pPr>
                  <w:r w:rsidRPr="00F26B82">
                    <w:rPr>
                      <w:color w:val="000000"/>
                      <w:sz w:val="22"/>
                      <w:szCs w:val="22"/>
                      <w:lang w:eastAsia="lt-LT"/>
                    </w:rPr>
                    <w:t>Tremtinių SGN</w:t>
                  </w:r>
                </w:p>
              </w:tc>
              <w:tc>
                <w:tcPr>
                  <w:tcW w:w="2655" w:type="dxa"/>
                  <w:tcBorders>
                    <w:top w:val="nil"/>
                    <w:left w:val="nil"/>
                    <w:bottom w:val="single" w:sz="4" w:space="0" w:color="auto"/>
                    <w:right w:val="single" w:sz="4" w:space="0" w:color="auto"/>
                  </w:tcBorders>
                  <w:shd w:val="clear" w:color="auto" w:fill="auto"/>
                  <w:noWrap/>
                  <w:hideMark/>
                </w:tcPr>
                <w:p w14:paraId="7B7CDD53" w14:textId="77777777" w:rsidR="0043457C" w:rsidRPr="00F26B82" w:rsidRDefault="0043457C" w:rsidP="006748C3">
                  <w:pPr>
                    <w:jc w:val="both"/>
                    <w:rPr>
                      <w:color w:val="000000"/>
                      <w:sz w:val="22"/>
                      <w:szCs w:val="22"/>
                      <w:lang w:eastAsia="lt-LT"/>
                    </w:rPr>
                  </w:pPr>
                  <w:r w:rsidRPr="00F26B82">
                    <w:rPr>
                      <w:color w:val="000000"/>
                      <w:sz w:val="22"/>
                      <w:szCs w:val="22"/>
                      <w:lang w:eastAsia="lt-LT"/>
                    </w:rPr>
                    <w:t>86</w:t>
                  </w:r>
                </w:p>
              </w:tc>
              <w:tc>
                <w:tcPr>
                  <w:tcW w:w="2938" w:type="dxa"/>
                  <w:tcBorders>
                    <w:top w:val="nil"/>
                    <w:left w:val="nil"/>
                    <w:bottom w:val="single" w:sz="4" w:space="0" w:color="auto"/>
                    <w:right w:val="single" w:sz="4" w:space="0" w:color="auto"/>
                  </w:tcBorders>
                  <w:shd w:val="clear" w:color="auto" w:fill="auto"/>
                  <w:noWrap/>
                  <w:hideMark/>
                </w:tcPr>
                <w:p w14:paraId="0043B144" w14:textId="77777777" w:rsidR="0043457C" w:rsidRPr="00F26B82" w:rsidRDefault="0043457C" w:rsidP="006748C3">
                  <w:pPr>
                    <w:jc w:val="both"/>
                    <w:rPr>
                      <w:color w:val="000000"/>
                      <w:sz w:val="22"/>
                      <w:szCs w:val="22"/>
                      <w:lang w:eastAsia="lt-LT"/>
                    </w:rPr>
                  </w:pPr>
                  <w:r w:rsidRPr="00F26B82">
                    <w:rPr>
                      <w:color w:val="000000"/>
                      <w:sz w:val="22"/>
                      <w:szCs w:val="22"/>
                      <w:lang w:eastAsia="lt-LT"/>
                    </w:rPr>
                    <w:t>0</w:t>
                  </w:r>
                </w:p>
              </w:tc>
              <w:tc>
                <w:tcPr>
                  <w:tcW w:w="1819" w:type="dxa"/>
                  <w:tcBorders>
                    <w:top w:val="nil"/>
                    <w:left w:val="nil"/>
                    <w:bottom w:val="single" w:sz="4" w:space="0" w:color="auto"/>
                    <w:right w:val="single" w:sz="4" w:space="0" w:color="auto"/>
                  </w:tcBorders>
                  <w:shd w:val="clear" w:color="auto" w:fill="auto"/>
                  <w:noWrap/>
                  <w:hideMark/>
                </w:tcPr>
                <w:p w14:paraId="3FF437C6" w14:textId="77777777" w:rsidR="0043457C" w:rsidRPr="00F26B82" w:rsidRDefault="0043457C" w:rsidP="006748C3">
                  <w:pPr>
                    <w:jc w:val="both"/>
                    <w:rPr>
                      <w:color w:val="000000"/>
                      <w:sz w:val="22"/>
                      <w:szCs w:val="22"/>
                      <w:lang w:eastAsia="lt-LT"/>
                    </w:rPr>
                  </w:pPr>
                  <w:r w:rsidRPr="00F26B82">
                    <w:rPr>
                      <w:color w:val="000000"/>
                      <w:sz w:val="22"/>
                      <w:szCs w:val="22"/>
                      <w:lang w:eastAsia="lt-LT"/>
                    </w:rPr>
                    <w:t>0</w:t>
                  </w:r>
                </w:p>
              </w:tc>
            </w:tr>
            <w:tr w:rsidR="0043457C" w:rsidRPr="00F26B82" w14:paraId="033B0774" w14:textId="77777777" w:rsidTr="0043457C">
              <w:trPr>
                <w:trHeight w:val="317"/>
              </w:trPr>
              <w:tc>
                <w:tcPr>
                  <w:tcW w:w="1963" w:type="dxa"/>
                  <w:tcBorders>
                    <w:top w:val="nil"/>
                    <w:left w:val="single" w:sz="4" w:space="0" w:color="auto"/>
                    <w:bottom w:val="single" w:sz="4" w:space="0" w:color="auto"/>
                    <w:right w:val="single" w:sz="4" w:space="0" w:color="auto"/>
                  </w:tcBorders>
                  <w:shd w:val="clear" w:color="auto" w:fill="auto"/>
                  <w:hideMark/>
                </w:tcPr>
                <w:p w14:paraId="546494C1" w14:textId="77777777" w:rsidR="0043457C" w:rsidRPr="00F26B82" w:rsidRDefault="0043457C" w:rsidP="006748C3">
                  <w:pPr>
                    <w:jc w:val="both"/>
                    <w:rPr>
                      <w:color w:val="000000"/>
                      <w:sz w:val="22"/>
                      <w:szCs w:val="22"/>
                      <w:lang w:eastAsia="lt-LT"/>
                    </w:rPr>
                  </w:pPr>
                  <w:r w:rsidRPr="00F26B82">
                    <w:rPr>
                      <w:color w:val="000000"/>
                      <w:sz w:val="22"/>
                      <w:szCs w:val="22"/>
                      <w:lang w:eastAsia="lt-LT"/>
                    </w:rPr>
                    <w:t>Utenos SGN</w:t>
                  </w:r>
                </w:p>
              </w:tc>
              <w:tc>
                <w:tcPr>
                  <w:tcW w:w="2655" w:type="dxa"/>
                  <w:tcBorders>
                    <w:top w:val="nil"/>
                    <w:left w:val="nil"/>
                    <w:bottom w:val="single" w:sz="4" w:space="0" w:color="auto"/>
                    <w:right w:val="single" w:sz="4" w:space="0" w:color="auto"/>
                  </w:tcBorders>
                  <w:shd w:val="clear" w:color="auto" w:fill="auto"/>
                  <w:noWrap/>
                  <w:hideMark/>
                </w:tcPr>
                <w:p w14:paraId="1F536ABC" w14:textId="77777777" w:rsidR="0043457C" w:rsidRPr="00F26B82" w:rsidRDefault="0043457C" w:rsidP="006748C3">
                  <w:pPr>
                    <w:jc w:val="both"/>
                    <w:rPr>
                      <w:color w:val="000000"/>
                      <w:sz w:val="22"/>
                      <w:szCs w:val="22"/>
                      <w:lang w:eastAsia="lt-LT"/>
                    </w:rPr>
                  </w:pPr>
                  <w:r w:rsidRPr="00F26B82">
                    <w:rPr>
                      <w:color w:val="000000"/>
                      <w:sz w:val="22"/>
                      <w:szCs w:val="22"/>
                      <w:lang w:eastAsia="lt-LT"/>
                    </w:rPr>
                    <w:t>158</w:t>
                  </w:r>
                </w:p>
              </w:tc>
              <w:tc>
                <w:tcPr>
                  <w:tcW w:w="2938" w:type="dxa"/>
                  <w:tcBorders>
                    <w:top w:val="nil"/>
                    <w:left w:val="nil"/>
                    <w:bottom w:val="single" w:sz="4" w:space="0" w:color="auto"/>
                    <w:right w:val="single" w:sz="4" w:space="0" w:color="auto"/>
                  </w:tcBorders>
                  <w:shd w:val="clear" w:color="auto" w:fill="auto"/>
                  <w:noWrap/>
                  <w:hideMark/>
                </w:tcPr>
                <w:p w14:paraId="5E326B49" w14:textId="77777777" w:rsidR="0043457C" w:rsidRPr="00F26B82" w:rsidRDefault="0043457C" w:rsidP="006748C3">
                  <w:pPr>
                    <w:jc w:val="both"/>
                    <w:rPr>
                      <w:color w:val="000000"/>
                      <w:sz w:val="22"/>
                      <w:szCs w:val="22"/>
                      <w:lang w:eastAsia="lt-LT"/>
                    </w:rPr>
                  </w:pPr>
                  <w:r w:rsidRPr="00F26B82">
                    <w:rPr>
                      <w:color w:val="000000"/>
                      <w:sz w:val="22"/>
                      <w:szCs w:val="22"/>
                      <w:lang w:eastAsia="lt-LT"/>
                    </w:rPr>
                    <w:t>34</w:t>
                  </w:r>
                </w:p>
              </w:tc>
              <w:tc>
                <w:tcPr>
                  <w:tcW w:w="1819" w:type="dxa"/>
                  <w:tcBorders>
                    <w:top w:val="nil"/>
                    <w:left w:val="nil"/>
                    <w:bottom w:val="single" w:sz="4" w:space="0" w:color="auto"/>
                    <w:right w:val="single" w:sz="4" w:space="0" w:color="auto"/>
                  </w:tcBorders>
                  <w:shd w:val="clear" w:color="auto" w:fill="auto"/>
                  <w:noWrap/>
                  <w:hideMark/>
                </w:tcPr>
                <w:p w14:paraId="4F4ACA2D" w14:textId="77777777" w:rsidR="0043457C" w:rsidRPr="00F26B82" w:rsidRDefault="0043457C" w:rsidP="006748C3">
                  <w:pPr>
                    <w:jc w:val="both"/>
                    <w:rPr>
                      <w:color w:val="000000"/>
                      <w:sz w:val="22"/>
                      <w:szCs w:val="22"/>
                      <w:lang w:eastAsia="lt-LT"/>
                    </w:rPr>
                  </w:pPr>
                  <w:r w:rsidRPr="00F26B82">
                    <w:rPr>
                      <w:color w:val="000000"/>
                      <w:sz w:val="22"/>
                      <w:szCs w:val="22"/>
                      <w:lang w:eastAsia="lt-LT"/>
                    </w:rPr>
                    <w:t>22</w:t>
                  </w:r>
                </w:p>
              </w:tc>
            </w:tr>
            <w:tr w:rsidR="0043457C" w:rsidRPr="00F26B82" w14:paraId="36E58EF0" w14:textId="77777777" w:rsidTr="0043457C">
              <w:trPr>
                <w:trHeight w:val="288"/>
              </w:trPr>
              <w:tc>
                <w:tcPr>
                  <w:tcW w:w="1963" w:type="dxa"/>
                  <w:tcBorders>
                    <w:top w:val="nil"/>
                    <w:left w:val="single" w:sz="4" w:space="0" w:color="auto"/>
                    <w:bottom w:val="single" w:sz="4" w:space="0" w:color="auto"/>
                    <w:right w:val="single" w:sz="4" w:space="0" w:color="auto"/>
                  </w:tcBorders>
                  <w:shd w:val="clear" w:color="auto" w:fill="auto"/>
                  <w:noWrap/>
                  <w:hideMark/>
                </w:tcPr>
                <w:p w14:paraId="0A999E39" w14:textId="77777777" w:rsidR="0043457C" w:rsidRPr="00F26B82" w:rsidRDefault="0043457C" w:rsidP="006748C3">
                  <w:pPr>
                    <w:jc w:val="both"/>
                    <w:rPr>
                      <w:color w:val="000000"/>
                      <w:sz w:val="22"/>
                      <w:szCs w:val="22"/>
                      <w:lang w:eastAsia="lt-LT"/>
                    </w:rPr>
                  </w:pPr>
                  <w:r w:rsidRPr="00F26B82">
                    <w:rPr>
                      <w:color w:val="000000"/>
                      <w:sz w:val="22"/>
                      <w:szCs w:val="22"/>
                      <w:lang w:eastAsia="lt-LT"/>
                    </w:rPr>
                    <w:t>Ventos SGN</w:t>
                  </w:r>
                </w:p>
              </w:tc>
              <w:tc>
                <w:tcPr>
                  <w:tcW w:w="2655" w:type="dxa"/>
                  <w:tcBorders>
                    <w:top w:val="nil"/>
                    <w:left w:val="nil"/>
                    <w:bottom w:val="single" w:sz="4" w:space="0" w:color="auto"/>
                    <w:right w:val="single" w:sz="4" w:space="0" w:color="auto"/>
                  </w:tcBorders>
                  <w:shd w:val="clear" w:color="auto" w:fill="auto"/>
                  <w:noWrap/>
                </w:tcPr>
                <w:p w14:paraId="371D296C" w14:textId="77777777" w:rsidR="0043457C" w:rsidRPr="00F26B82" w:rsidRDefault="0043457C" w:rsidP="006748C3">
                  <w:pPr>
                    <w:jc w:val="both"/>
                    <w:rPr>
                      <w:color w:val="000000"/>
                      <w:sz w:val="22"/>
                      <w:szCs w:val="22"/>
                      <w:lang w:eastAsia="lt-LT"/>
                    </w:rPr>
                  </w:pPr>
                  <w:r w:rsidRPr="00F26B82">
                    <w:rPr>
                      <w:color w:val="000000"/>
                      <w:sz w:val="22"/>
                      <w:szCs w:val="22"/>
                      <w:lang w:eastAsia="lt-LT"/>
                    </w:rPr>
                    <w:t>158</w:t>
                  </w:r>
                </w:p>
              </w:tc>
              <w:tc>
                <w:tcPr>
                  <w:tcW w:w="2938" w:type="dxa"/>
                  <w:tcBorders>
                    <w:top w:val="nil"/>
                    <w:left w:val="nil"/>
                    <w:bottom w:val="single" w:sz="4" w:space="0" w:color="auto"/>
                    <w:right w:val="single" w:sz="4" w:space="0" w:color="auto"/>
                  </w:tcBorders>
                  <w:shd w:val="clear" w:color="auto" w:fill="auto"/>
                  <w:noWrap/>
                </w:tcPr>
                <w:p w14:paraId="74CAE47B" w14:textId="77777777" w:rsidR="0043457C" w:rsidRPr="00F26B82" w:rsidRDefault="0043457C" w:rsidP="006748C3">
                  <w:pPr>
                    <w:jc w:val="both"/>
                    <w:rPr>
                      <w:color w:val="000000"/>
                      <w:sz w:val="22"/>
                      <w:szCs w:val="22"/>
                      <w:lang w:eastAsia="lt-LT"/>
                    </w:rPr>
                  </w:pPr>
                  <w:r w:rsidRPr="00F26B82">
                    <w:rPr>
                      <w:color w:val="000000"/>
                      <w:sz w:val="22"/>
                      <w:szCs w:val="22"/>
                      <w:lang w:eastAsia="lt-LT"/>
                    </w:rPr>
                    <w:t>158</w:t>
                  </w:r>
                </w:p>
              </w:tc>
              <w:tc>
                <w:tcPr>
                  <w:tcW w:w="1819" w:type="dxa"/>
                  <w:tcBorders>
                    <w:top w:val="nil"/>
                    <w:left w:val="nil"/>
                    <w:bottom w:val="single" w:sz="4" w:space="0" w:color="auto"/>
                    <w:right w:val="single" w:sz="4" w:space="0" w:color="auto"/>
                  </w:tcBorders>
                  <w:shd w:val="clear" w:color="auto" w:fill="auto"/>
                  <w:noWrap/>
                </w:tcPr>
                <w:p w14:paraId="26AC3121" w14:textId="77777777" w:rsidR="0043457C" w:rsidRPr="00F26B82" w:rsidRDefault="0043457C" w:rsidP="006748C3">
                  <w:pPr>
                    <w:jc w:val="both"/>
                    <w:rPr>
                      <w:color w:val="000000"/>
                      <w:sz w:val="22"/>
                      <w:szCs w:val="22"/>
                      <w:lang w:eastAsia="lt-LT"/>
                    </w:rPr>
                  </w:pPr>
                  <w:r w:rsidRPr="00F26B82">
                    <w:rPr>
                      <w:color w:val="000000"/>
                      <w:sz w:val="22"/>
                      <w:szCs w:val="22"/>
                      <w:lang w:eastAsia="lt-LT"/>
                    </w:rPr>
                    <w:t>100</w:t>
                  </w:r>
                </w:p>
              </w:tc>
            </w:tr>
            <w:tr w:rsidR="0043457C" w:rsidRPr="00F26B82" w14:paraId="73DF006E" w14:textId="77777777" w:rsidTr="0043457C">
              <w:trPr>
                <w:trHeight w:val="288"/>
              </w:trPr>
              <w:tc>
                <w:tcPr>
                  <w:tcW w:w="1963" w:type="dxa"/>
                  <w:tcBorders>
                    <w:top w:val="nil"/>
                    <w:left w:val="single" w:sz="4" w:space="0" w:color="auto"/>
                    <w:bottom w:val="single" w:sz="4" w:space="0" w:color="auto"/>
                    <w:right w:val="single" w:sz="4" w:space="0" w:color="auto"/>
                  </w:tcBorders>
                  <w:shd w:val="clear" w:color="auto" w:fill="auto"/>
                  <w:noWrap/>
                  <w:hideMark/>
                </w:tcPr>
                <w:p w14:paraId="1FA95FC3" w14:textId="77777777" w:rsidR="0043457C" w:rsidRPr="00F26B82" w:rsidRDefault="0043457C" w:rsidP="006748C3">
                  <w:pPr>
                    <w:jc w:val="both"/>
                    <w:rPr>
                      <w:color w:val="000000"/>
                      <w:sz w:val="22"/>
                      <w:szCs w:val="22"/>
                      <w:lang w:eastAsia="lt-LT"/>
                    </w:rPr>
                  </w:pPr>
                  <w:r w:rsidRPr="00F26B82">
                    <w:rPr>
                      <w:color w:val="000000"/>
                      <w:sz w:val="22"/>
                      <w:szCs w:val="22"/>
                      <w:lang w:eastAsia="lt-LT"/>
                    </w:rPr>
                    <w:lastRenderedPageBreak/>
                    <w:t>Vijos SGC</w:t>
                  </w:r>
                </w:p>
              </w:tc>
              <w:tc>
                <w:tcPr>
                  <w:tcW w:w="2655" w:type="dxa"/>
                  <w:tcBorders>
                    <w:top w:val="nil"/>
                    <w:left w:val="nil"/>
                    <w:bottom w:val="single" w:sz="4" w:space="0" w:color="auto"/>
                    <w:right w:val="single" w:sz="4" w:space="0" w:color="auto"/>
                  </w:tcBorders>
                  <w:shd w:val="clear" w:color="auto" w:fill="auto"/>
                  <w:noWrap/>
                  <w:hideMark/>
                </w:tcPr>
                <w:p w14:paraId="7B717CF9" w14:textId="77777777" w:rsidR="0043457C" w:rsidRPr="00F26B82" w:rsidRDefault="0043457C" w:rsidP="006748C3">
                  <w:pPr>
                    <w:jc w:val="both"/>
                    <w:rPr>
                      <w:color w:val="000000"/>
                      <w:sz w:val="22"/>
                      <w:szCs w:val="22"/>
                      <w:lang w:eastAsia="lt-LT"/>
                    </w:rPr>
                  </w:pPr>
                  <w:r w:rsidRPr="00F26B82">
                    <w:rPr>
                      <w:color w:val="000000"/>
                      <w:sz w:val="22"/>
                      <w:szCs w:val="22"/>
                      <w:lang w:eastAsia="lt-LT"/>
                    </w:rPr>
                    <w:t>72</w:t>
                  </w:r>
                </w:p>
              </w:tc>
              <w:tc>
                <w:tcPr>
                  <w:tcW w:w="2938" w:type="dxa"/>
                  <w:tcBorders>
                    <w:top w:val="nil"/>
                    <w:left w:val="nil"/>
                    <w:bottom w:val="single" w:sz="4" w:space="0" w:color="auto"/>
                    <w:right w:val="single" w:sz="4" w:space="0" w:color="auto"/>
                  </w:tcBorders>
                  <w:shd w:val="clear" w:color="auto" w:fill="auto"/>
                  <w:noWrap/>
                  <w:hideMark/>
                </w:tcPr>
                <w:p w14:paraId="4BD45311" w14:textId="77777777" w:rsidR="0043457C" w:rsidRPr="00F26B82" w:rsidRDefault="0043457C" w:rsidP="006748C3">
                  <w:pPr>
                    <w:jc w:val="both"/>
                    <w:rPr>
                      <w:color w:val="000000"/>
                      <w:sz w:val="22"/>
                      <w:szCs w:val="22"/>
                      <w:lang w:eastAsia="lt-LT"/>
                    </w:rPr>
                  </w:pPr>
                  <w:r w:rsidRPr="00F26B82">
                    <w:rPr>
                      <w:color w:val="000000"/>
                      <w:sz w:val="22"/>
                      <w:szCs w:val="22"/>
                      <w:lang w:eastAsia="lt-LT"/>
                    </w:rPr>
                    <w:t>72</w:t>
                  </w:r>
                </w:p>
              </w:tc>
              <w:tc>
                <w:tcPr>
                  <w:tcW w:w="1819" w:type="dxa"/>
                  <w:tcBorders>
                    <w:top w:val="nil"/>
                    <w:left w:val="nil"/>
                    <w:bottom w:val="single" w:sz="4" w:space="0" w:color="auto"/>
                    <w:right w:val="single" w:sz="4" w:space="0" w:color="auto"/>
                  </w:tcBorders>
                  <w:shd w:val="clear" w:color="auto" w:fill="auto"/>
                  <w:noWrap/>
                  <w:hideMark/>
                </w:tcPr>
                <w:p w14:paraId="2B83A1B2" w14:textId="77777777" w:rsidR="0043457C" w:rsidRPr="00F26B82" w:rsidRDefault="0043457C" w:rsidP="006748C3">
                  <w:pPr>
                    <w:jc w:val="both"/>
                    <w:rPr>
                      <w:color w:val="000000"/>
                      <w:sz w:val="22"/>
                      <w:szCs w:val="22"/>
                      <w:lang w:eastAsia="lt-LT"/>
                    </w:rPr>
                  </w:pPr>
                  <w:r w:rsidRPr="00F26B82">
                    <w:rPr>
                      <w:color w:val="000000"/>
                      <w:sz w:val="22"/>
                      <w:szCs w:val="22"/>
                      <w:lang w:eastAsia="lt-LT"/>
                    </w:rPr>
                    <w:t>100</w:t>
                  </w:r>
                </w:p>
              </w:tc>
            </w:tr>
            <w:tr w:rsidR="0043457C" w:rsidRPr="00F26B82" w14:paraId="1DC640E2" w14:textId="77777777" w:rsidTr="0043457C">
              <w:trPr>
                <w:trHeight w:val="244"/>
              </w:trPr>
              <w:tc>
                <w:tcPr>
                  <w:tcW w:w="1963" w:type="dxa"/>
                  <w:tcBorders>
                    <w:top w:val="nil"/>
                    <w:left w:val="single" w:sz="4" w:space="0" w:color="auto"/>
                    <w:bottom w:val="single" w:sz="4" w:space="0" w:color="auto"/>
                    <w:right w:val="single" w:sz="4" w:space="0" w:color="auto"/>
                  </w:tcBorders>
                  <w:shd w:val="clear" w:color="auto" w:fill="auto"/>
                  <w:hideMark/>
                </w:tcPr>
                <w:p w14:paraId="4D2062D6" w14:textId="77777777" w:rsidR="0043457C" w:rsidRPr="00F26B82" w:rsidRDefault="0043457C" w:rsidP="006748C3">
                  <w:pPr>
                    <w:jc w:val="both"/>
                    <w:rPr>
                      <w:color w:val="000000"/>
                      <w:sz w:val="22"/>
                      <w:szCs w:val="22"/>
                      <w:lang w:eastAsia="lt-LT"/>
                    </w:rPr>
                  </w:pPr>
                  <w:r w:rsidRPr="00F26B82">
                    <w:rPr>
                      <w:color w:val="000000"/>
                      <w:sz w:val="22"/>
                      <w:szCs w:val="22"/>
                      <w:lang w:eastAsia="lt-LT"/>
                    </w:rPr>
                    <w:t>Visagino SGN</w:t>
                  </w:r>
                </w:p>
              </w:tc>
              <w:tc>
                <w:tcPr>
                  <w:tcW w:w="2655" w:type="dxa"/>
                  <w:tcBorders>
                    <w:top w:val="nil"/>
                    <w:left w:val="nil"/>
                    <w:bottom w:val="single" w:sz="4" w:space="0" w:color="auto"/>
                    <w:right w:val="single" w:sz="4" w:space="0" w:color="auto"/>
                  </w:tcBorders>
                  <w:shd w:val="clear" w:color="auto" w:fill="auto"/>
                  <w:noWrap/>
                  <w:hideMark/>
                </w:tcPr>
                <w:p w14:paraId="3C621CAD" w14:textId="77777777" w:rsidR="0043457C" w:rsidRPr="00F26B82" w:rsidRDefault="0043457C" w:rsidP="006748C3">
                  <w:pPr>
                    <w:jc w:val="both"/>
                    <w:rPr>
                      <w:color w:val="000000"/>
                      <w:sz w:val="22"/>
                      <w:szCs w:val="22"/>
                      <w:lang w:eastAsia="lt-LT"/>
                    </w:rPr>
                  </w:pPr>
                  <w:r w:rsidRPr="00F26B82">
                    <w:rPr>
                      <w:color w:val="000000"/>
                      <w:sz w:val="22"/>
                      <w:szCs w:val="22"/>
                      <w:lang w:eastAsia="lt-LT"/>
                    </w:rPr>
                    <w:t>110</w:t>
                  </w:r>
                </w:p>
              </w:tc>
              <w:tc>
                <w:tcPr>
                  <w:tcW w:w="2938" w:type="dxa"/>
                  <w:tcBorders>
                    <w:top w:val="nil"/>
                    <w:left w:val="nil"/>
                    <w:bottom w:val="single" w:sz="4" w:space="0" w:color="auto"/>
                    <w:right w:val="single" w:sz="4" w:space="0" w:color="auto"/>
                  </w:tcBorders>
                  <w:shd w:val="clear" w:color="auto" w:fill="auto"/>
                  <w:noWrap/>
                  <w:hideMark/>
                </w:tcPr>
                <w:p w14:paraId="1AF2FDC7" w14:textId="77777777" w:rsidR="0043457C" w:rsidRPr="00F26B82" w:rsidRDefault="0043457C" w:rsidP="006748C3">
                  <w:pPr>
                    <w:jc w:val="both"/>
                    <w:rPr>
                      <w:color w:val="000000"/>
                      <w:sz w:val="22"/>
                      <w:szCs w:val="22"/>
                      <w:lang w:eastAsia="lt-LT"/>
                    </w:rPr>
                  </w:pPr>
                  <w:r w:rsidRPr="00F26B82">
                    <w:rPr>
                      <w:color w:val="000000"/>
                      <w:sz w:val="22"/>
                      <w:szCs w:val="22"/>
                      <w:lang w:eastAsia="lt-LT"/>
                    </w:rPr>
                    <w:t>57</w:t>
                  </w:r>
                </w:p>
              </w:tc>
              <w:tc>
                <w:tcPr>
                  <w:tcW w:w="1819" w:type="dxa"/>
                  <w:tcBorders>
                    <w:top w:val="nil"/>
                    <w:left w:val="nil"/>
                    <w:bottom w:val="single" w:sz="4" w:space="0" w:color="auto"/>
                    <w:right w:val="single" w:sz="4" w:space="0" w:color="auto"/>
                  </w:tcBorders>
                  <w:shd w:val="clear" w:color="auto" w:fill="auto"/>
                  <w:noWrap/>
                  <w:hideMark/>
                </w:tcPr>
                <w:p w14:paraId="76FE8877" w14:textId="77777777" w:rsidR="0043457C" w:rsidRPr="00F26B82" w:rsidRDefault="0043457C" w:rsidP="006748C3">
                  <w:pPr>
                    <w:jc w:val="both"/>
                    <w:rPr>
                      <w:color w:val="000000"/>
                      <w:sz w:val="22"/>
                      <w:szCs w:val="22"/>
                      <w:lang w:eastAsia="lt-LT"/>
                    </w:rPr>
                  </w:pPr>
                  <w:r w:rsidRPr="00F26B82">
                    <w:rPr>
                      <w:color w:val="000000"/>
                      <w:sz w:val="22"/>
                      <w:szCs w:val="22"/>
                      <w:lang w:eastAsia="lt-LT"/>
                    </w:rPr>
                    <w:t>52</w:t>
                  </w:r>
                </w:p>
              </w:tc>
            </w:tr>
            <w:tr w:rsidR="0043457C" w:rsidRPr="00F26B82" w14:paraId="6AE50218" w14:textId="77777777" w:rsidTr="00067A3F">
              <w:trPr>
                <w:trHeight w:val="288"/>
              </w:trPr>
              <w:tc>
                <w:tcPr>
                  <w:tcW w:w="1963" w:type="dxa"/>
                  <w:tcBorders>
                    <w:top w:val="nil"/>
                    <w:left w:val="single" w:sz="4" w:space="0" w:color="auto"/>
                    <w:bottom w:val="single" w:sz="4" w:space="0" w:color="auto"/>
                    <w:right w:val="single" w:sz="4" w:space="0" w:color="auto"/>
                  </w:tcBorders>
                  <w:shd w:val="clear" w:color="auto" w:fill="EEECE1" w:themeFill="background2"/>
                  <w:noWrap/>
                  <w:hideMark/>
                </w:tcPr>
                <w:p w14:paraId="59B3D71F" w14:textId="77777777" w:rsidR="0043457C" w:rsidRPr="00F26B82" w:rsidRDefault="0043457C" w:rsidP="006748C3">
                  <w:pPr>
                    <w:jc w:val="both"/>
                    <w:rPr>
                      <w:b/>
                      <w:bCs/>
                      <w:color w:val="000000"/>
                      <w:sz w:val="22"/>
                      <w:szCs w:val="22"/>
                      <w:lang w:eastAsia="lt-LT"/>
                    </w:rPr>
                  </w:pPr>
                  <w:r w:rsidRPr="00F26B82">
                    <w:rPr>
                      <w:b/>
                      <w:bCs/>
                      <w:color w:val="000000"/>
                      <w:sz w:val="22"/>
                      <w:szCs w:val="22"/>
                      <w:lang w:eastAsia="lt-LT"/>
                    </w:rPr>
                    <w:t>Iš viso</w:t>
                  </w:r>
                </w:p>
              </w:tc>
              <w:tc>
                <w:tcPr>
                  <w:tcW w:w="2655" w:type="dxa"/>
                  <w:tcBorders>
                    <w:top w:val="nil"/>
                    <w:left w:val="nil"/>
                    <w:bottom w:val="single" w:sz="4" w:space="0" w:color="auto"/>
                    <w:right w:val="single" w:sz="4" w:space="0" w:color="auto"/>
                  </w:tcBorders>
                  <w:shd w:val="clear" w:color="auto" w:fill="EEECE1" w:themeFill="background2"/>
                  <w:noWrap/>
                  <w:hideMark/>
                </w:tcPr>
                <w:p w14:paraId="2784F9FD" w14:textId="77777777" w:rsidR="0043457C" w:rsidRPr="00F26B82" w:rsidRDefault="0043457C" w:rsidP="006748C3">
                  <w:pPr>
                    <w:jc w:val="both"/>
                    <w:rPr>
                      <w:b/>
                      <w:bCs/>
                      <w:color w:val="000000"/>
                      <w:sz w:val="22"/>
                      <w:szCs w:val="22"/>
                      <w:lang w:eastAsia="lt-LT"/>
                    </w:rPr>
                  </w:pPr>
                  <w:r w:rsidRPr="00F26B82">
                    <w:rPr>
                      <w:b/>
                      <w:bCs/>
                      <w:color w:val="000000"/>
                      <w:sz w:val="22"/>
                      <w:szCs w:val="22"/>
                      <w:lang w:eastAsia="lt-LT"/>
                    </w:rPr>
                    <w:t>2736</w:t>
                  </w:r>
                </w:p>
              </w:tc>
              <w:tc>
                <w:tcPr>
                  <w:tcW w:w="2938" w:type="dxa"/>
                  <w:tcBorders>
                    <w:top w:val="nil"/>
                    <w:left w:val="nil"/>
                    <w:bottom w:val="single" w:sz="4" w:space="0" w:color="auto"/>
                    <w:right w:val="single" w:sz="4" w:space="0" w:color="auto"/>
                  </w:tcBorders>
                  <w:shd w:val="clear" w:color="auto" w:fill="EEECE1" w:themeFill="background2"/>
                  <w:noWrap/>
                  <w:hideMark/>
                </w:tcPr>
                <w:p w14:paraId="3377227F" w14:textId="77777777" w:rsidR="0043457C" w:rsidRPr="00F26B82" w:rsidRDefault="0043457C" w:rsidP="006748C3">
                  <w:pPr>
                    <w:jc w:val="both"/>
                    <w:rPr>
                      <w:b/>
                      <w:bCs/>
                      <w:color w:val="000000"/>
                      <w:sz w:val="22"/>
                      <w:szCs w:val="22"/>
                      <w:lang w:eastAsia="lt-LT"/>
                    </w:rPr>
                  </w:pPr>
                  <w:r w:rsidRPr="00F26B82">
                    <w:rPr>
                      <w:b/>
                      <w:bCs/>
                      <w:color w:val="000000"/>
                      <w:sz w:val="22"/>
                      <w:szCs w:val="22"/>
                      <w:lang w:eastAsia="lt-LT"/>
                    </w:rPr>
                    <w:t>1178</w:t>
                  </w:r>
                </w:p>
              </w:tc>
              <w:tc>
                <w:tcPr>
                  <w:tcW w:w="1819" w:type="dxa"/>
                  <w:tcBorders>
                    <w:top w:val="nil"/>
                    <w:left w:val="nil"/>
                    <w:bottom w:val="single" w:sz="4" w:space="0" w:color="auto"/>
                    <w:right w:val="single" w:sz="4" w:space="0" w:color="auto"/>
                  </w:tcBorders>
                  <w:shd w:val="clear" w:color="auto" w:fill="EEECE1" w:themeFill="background2"/>
                  <w:noWrap/>
                  <w:hideMark/>
                </w:tcPr>
                <w:p w14:paraId="7C7335D4" w14:textId="77777777" w:rsidR="0043457C" w:rsidRPr="00F26B82" w:rsidRDefault="0043457C" w:rsidP="006748C3">
                  <w:pPr>
                    <w:jc w:val="both"/>
                    <w:rPr>
                      <w:b/>
                      <w:bCs/>
                      <w:color w:val="000000"/>
                      <w:sz w:val="22"/>
                      <w:szCs w:val="22"/>
                      <w:lang w:eastAsia="lt-LT"/>
                    </w:rPr>
                  </w:pPr>
                  <w:r w:rsidRPr="00F26B82">
                    <w:rPr>
                      <w:b/>
                      <w:bCs/>
                      <w:color w:val="000000"/>
                      <w:sz w:val="22"/>
                      <w:szCs w:val="22"/>
                      <w:lang w:eastAsia="lt-LT"/>
                    </w:rPr>
                    <w:t>43</w:t>
                  </w:r>
                </w:p>
              </w:tc>
            </w:tr>
          </w:tbl>
          <w:p w14:paraId="6E8E4B20" w14:textId="77777777" w:rsidR="006748C3" w:rsidRPr="001D5207" w:rsidRDefault="006748C3" w:rsidP="006748C3">
            <w:pPr>
              <w:ind w:left="29"/>
              <w:jc w:val="both"/>
              <w:rPr>
                <w:color w:val="000000" w:themeColor="text1"/>
                <w:sz w:val="22"/>
                <w:szCs w:val="22"/>
              </w:rPr>
            </w:pPr>
            <w:r w:rsidRPr="001D5207">
              <w:rPr>
                <w:color w:val="000000" w:themeColor="text1"/>
                <w:sz w:val="22"/>
                <w:szCs w:val="22"/>
              </w:rPr>
              <w:t xml:space="preserve">*Pastaba: SGN – socialinės globos namai. </w:t>
            </w:r>
          </w:p>
          <w:p w14:paraId="63E506EE" w14:textId="77777777" w:rsidR="006748C3" w:rsidRPr="001D5207" w:rsidRDefault="006748C3" w:rsidP="006748C3">
            <w:pPr>
              <w:ind w:left="29"/>
              <w:jc w:val="both"/>
              <w:rPr>
                <w:sz w:val="22"/>
                <w:szCs w:val="22"/>
              </w:rPr>
            </w:pPr>
            <w:r w:rsidRPr="001D5207">
              <w:rPr>
                <w:b/>
                <w:bCs/>
                <w:sz w:val="22"/>
                <w:szCs w:val="22"/>
              </w:rPr>
              <w:t>Priemonės veiklų tipas</w:t>
            </w:r>
            <w:r w:rsidRPr="001D5207">
              <w:rPr>
                <w:sz w:val="22"/>
                <w:szCs w:val="22"/>
              </w:rPr>
              <w:t xml:space="preserve"> – investicinės veiklos (investicijos į esamų valstybės socialinės  globos įstaigų infrastruktūros modernizavimą  arba statomą naują, teikiant socialinės globos paslaugas senyvo amžiaus asmenims). Reguliacinių ir komunikacinių veiklų tipai nenumatomi.</w:t>
            </w:r>
          </w:p>
          <w:p w14:paraId="6447BF7C" w14:textId="77777777" w:rsidR="006748C3" w:rsidRPr="001D5207" w:rsidRDefault="006748C3" w:rsidP="006748C3">
            <w:pPr>
              <w:tabs>
                <w:tab w:val="left" w:pos="315"/>
                <w:tab w:val="left" w:pos="598"/>
              </w:tabs>
              <w:ind w:left="28" w:firstLine="28"/>
              <w:jc w:val="both"/>
              <w:rPr>
                <w:sz w:val="22"/>
                <w:szCs w:val="22"/>
              </w:rPr>
            </w:pPr>
            <w:r w:rsidRPr="001D5207">
              <w:rPr>
                <w:sz w:val="22"/>
                <w:szCs w:val="22"/>
              </w:rPr>
              <w:t xml:space="preserve">I alternatyva: investicinės veiklos. </w:t>
            </w:r>
          </w:p>
          <w:p w14:paraId="2F89EEE2" w14:textId="77777777" w:rsidR="006748C3" w:rsidRPr="001D5207" w:rsidRDefault="006748C3" w:rsidP="006748C3">
            <w:pPr>
              <w:tabs>
                <w:tab w:val="left" w:pos="315"/>
                <w:tab w:val="left" w:pos="598"/>
              </w:tabs>
              <w:ind w:left="28" w:firstLine="28"/>
              <w:jc w:val="both"/>
              <w:rPr>
                <w:sz w:val="22"/>
                <w:szCs w:val="22"/>
              </w:rPr>
            </w:pPr>
            <w:r w:rsidRPr="001D5207">
              <w:rPr>
                <w:sz w:val="22"/>
                <w:szCs w:val="22"/>
              </w:rPr>
              <w:t xml:space="preserve">II alternatyva: investicinės veiklos. </w:t>
            </w:r>
          </w:p>
          <w:p w14:paraId="599E3116" w14:textId="7F542565" w:rsidR="006748C3" w:rsidRPr="001D5207" w:rsidRDefault="006748C3" w:rsidP="006748C3">
            <w:pPr>
              <w:ind w:left="28" w:right="172" w:firstLine="28"/>
              <w:jc w:val="both"/>
              <w:rPr>
                <w:color w:val="000000" w:themeColor="text1"/>
                <w:sz w:val="22"/>
                <w:szCs w:val="22"/>
              </w:rPr>
            </w:pPr>
            <w:r w:rsidRPr="001D5207">
              <w:rPr>
                <w:b/>
                <w:bCs/>
                <w:sz w:val="22"/>
                <w:szCs w:val="22"/>
              </w:rPr>
              <w:t xml:space="preserve">Tikslinė grupė </w:t>
            </w:r>
            <w:r w:rsidR="00F60DCF">
              <w:rPr>
                <w:b/>
                <w:bCs/>
                <w:sz w:val="22"/>
                <w:szCs w:val="22"/>
              </w:rPr>
              <w:t>–</w:t>
            </w:r>
            <w:r w:rsidRPr="001D5207">
              <w:rPr>
                <w:b/>
                <w:bCs/>
                <w:sz w:val="22"/>
                <w:szCs w:val="22"/>
              </w:rPr>
              <w:t xml:space="preserve"> </w:t>
            </w:r>
            <w:r w:rsidRPr="001D5207">
              <w:rPr>
                <w:color w:val="000000" w:themeColor="text1"/>
                <w:sz w:val="22"/>
                <w:szCs w:val="22"/>
              </w:rPr>
              <w:t>senyvo amžiaus asmenys, kuriems reikalinga ilgalaikė socialinė globa valstybės socialinės globos namuose.</w:t>
            </w:r>
          </w:p>
          <w:p w14:paraId="24CE02CB" w14:textId="77777777" w:rsidR="006748C3" w:rsidRPr="001D5207" w:rsidRDefault="006748C3" w:rsidP="006748C3">
            <w:pPr>
              <w:ind w:left="28" w:right="172" w:firstLine="28"/>
              <w:jc w:val="both"/>
              <w:rPr>
                <w:sz w:val="22"/>
                <w:szCs w:val="22"/>
              </w:rPr>
            </w:pPr>
            <w:r w:rsidRPr="001D5207">
              <w:rPr>
                <w:b/>
                <w:bCs/>
                <w:sz w:val="22"/>
                <w:szCs w:val="22"/>
                <w:lang w:eastAsia="lt-LT"/>
              </w:rPr>
              <w:t>Įgyvendinus numatytas veiklas</w:t>
            </w:r>
            <w:r w:rsidRPr="001D5207">
              <w:rPr>
                <w:sz w:val="22"/>
                <w:szCs w:val="22"/>
                <w:lang w:eastAsia="lt-LT"/>
              </w:rPr>
              <w:t xml:space="preserve"> bus padidintas </w:t>
            </w:r>
            <w:r w:rsidRPr="001D5207">
              <w:rPr>
                <w:color w:val="000000" w:themeColor="text1"/>
                <w:sz w:val="22"/>
                <w:szCs w:val="22"/>
              </w:rPr>
              <w:t>ilgalaikes</w:t>
            </w:r>
            <w:r w:rsidRPr="001D5207">
              <w:rPr>
                <w:sz w:val="22"/>
                <w:szCs w:val="22"/>
                <w:lang w:eastAsia="lt-LT"/>
              </w:rPr>
              <w:t xml:space="preserve"> socialinės globos paslaugų prieinamumas senyvo amžiaus asmenims valstybės socialinės globos namuose bei pagerinta šios tikslinės grupės gyvenimo kokybė teikiant jiems socialinės globos paslaugas modernizuotoje,  naujus kokybės reikalavimus  atitinkančioje infrastruktūroje.</w:t>
            </w:r>
          </w:p>
          <w:p w14:paraId="0E4DEB82" w14:textId="5A2B85E1" w:rsidR="006748C3" w:rsidRPr="001D5207" w:rsidRDefault="006748C3" w:rsidP="006748C3">
            <w:pPr>
              <w:tabs>
                <w:tab w:val="left" w:pos="315"/>
                <w:tab w:val="left" w:pos="860"/>
              </w:tabs>
              <w:ind w:left="28" w:firstLine="28"/>
              <w:jc w:val="both"/>
              <w:rPr>
                <w:sz w:val="22"/>
                <w:szCs w:val="22"/>
              </w:rPr>
            </w:pPr>
            <w:r w:rsidRPr="001D5207">
              <w:rPr>
                <w:b/>
                <w:bCs/>
                <w:sz w:val="22"/>
                <w:szCs w:val="22"/>
              </w:rPr>
              <w:t xml:space="preserve">Siekiamas rodiklis </w:t>
            </w:r>
            <w:r w:rsidR="00F60DCF">
              <w:rPr>
                <w:b/>
                <w:bCs/>
                <w:sz w:val="22"/>
                <w:szCs w:val="22"/>
              </w:rPr>
              <w:t>–</w:t>
            </w:r>
            <w:r w:rsidRPr="001D5207">
              <w:rPr>
                <w:sz w:val="22"/>
                <w:szCs w:val="22"/>
              </w:rPr>
              <w:t xml:space="preserve"> senyvo amžiaus asmenų, gavusių socialines paslaugas modernizuotoje infrastruktūroje, skaičius per metus  – </w:t>
            </w:r>
            <w:r w:rsidRPr="001D5207">
              <w:rPr>
                <w:b/>
                <w:bCs/>
                <w:color w:val="000000" w:themeColor="text1"/>
                <w:sz w:val="22"/>
                <w:szCs w:val="22"/>
              </w:rPr>
              <w:t xml:space="preserve">2736, </w:t>
            </w:r>
            <w:r w:rsidRPr="001D5207">
              <w:rPr>
                <w:color w:val="000000" w:themeColor="text1"/>
                <w:sz w:val="22"/>
                <w:szCs w:val="22"/>
              </w:rPr>
              <w:t>i</w:t>
            </w:r>
            <w:r w:rsidRPr="001D5207">
              <w:rPr>
                <w:sz w:val="22"/>
                <w:szCs w:val="22"/>
              </w:rPr>
              <w:t>š jų – sukurtos 1178 naujos vietos senyvo amžiaus asmenims iš bendruomenės, o 1558 esamai socialinės globos vietai bus pagerinta kokybė.</w:t>
            </w:r>
          </w:p>
          <w:p w14:paraId="5E5091D2" w14:textId="52BC020C" w:rsidR="006748C3" w:rsidRPr="001D5207" w:rsidRDefault="006748C3" w:rsidP="006748C3">
            <w:pPr>
              <w:pStyle w:val="paragraph"/>
              <w:tabs>
                <w:tab w:val="left" w:pos="589"/>
                <w:tab w:val="left" w:pos="825"/>
              </w:tabs>
              <w:spacing w:before="0" w:beforeAutospacing="0" w:after="0" w:afterAutospacing="0"/>
              <w:ind w:left="28" w:firstLine="28"/>
              <w:jc w:val="both"/>
              <w:textAlignment w:val="baseline"/>
              <w:rPr>
                <w:rStyle w:val="eop"/>
                <w:rFonts w:eastAsiaTheme="minorHAnsi"/>
                <w:color w:val="000000"/>
                <w:sz w:val="22"/>
                <w:szCs w:val="22"/>
              </w:rPr>
            </w:pPr>
            <w:r w:rsidRPr="001D5207">
              <w:rPr>
                <w:rStyle w:val="normaltextrun"/>
                <w:color w:val="000000"/>
                <w:sz w:val="22"/>
                <w:szCs w:val="22"/>
              </w:rPr>
              <w:t>Visos priemonės alternatyvos prisidės prie 2021</w:t>
            </w:r>
            <w:r w:rsidR="00F60DCF">
              <w:rPr>
                <w:b/>
                <w:bCs/>
                <w:sz w:val="22"/>
                <w:szCs w:val="22"/>
              </w:rPr>
              <w:t>–</w:t>
            </w:r>
            <w:r w:rsidRPr="001D5207">
              <w:rPr>
                <w:rStyle w:val="normaltextrun"/>
                <w:color w:val="000000"/>
                <w:sz w:val="22"/>
                <w:szCs w:val="22"/>
              </w:rPr>
              <w:t>2030 metų Nacionaliniame pažangos plane numatytų horizontaliųjų principų „darnus vystymasis“ ir „lygios galimybės visiems“ įgyvendinimo. Priemonė neprisideda prie „inovatyvumo (kūrybingumo)“ principo, tačiau jam neigiamo poveikio nedaro.</w:t>
            </w:r>
          </w:p>
          <w:p w14:paraId="53F71CF3" w14:textId="77777777" w:rsidR="006748C3" w:rsidRPr="001D5207" w:rsidRDefault="006748C3" w:rsidP="006748C3">
            <w:pPr>
              <w:pStyle w:val="paragraph"/>
              <w:tabs>
                <w:tab w:val="left" w:pos="589"/>
                <w:tab w:val="left" w:pos="825"/>
              </w:tabs>
              <w:spacing w:before="0" w:beforeAutospacing="0" w:after="0" w:afterAutospacing="0"/>
              <w:ind w:left="28" w:firstLine="28"/>
              <w:jc w:val="both"/>
              <w:textAlignment w:val="baseline"/>
              <w:rPr>
                <w:rStyle w:val="normaltextrun"/>
                <w:color w:val="000000"/>
                <w:sz w:val="22"/>
                <w:szCs w:val="22"/>
              </w:rPr>
            </w:pPr>
            <w:r w:rsidRPr="001D5207">
              <w:rPr>
                <w:rStyle w:val="normaltextrun"/>
                <w:color w:val="000000"/>
                <w:sz w:val="22"/>
                <w:szCs w:val="22"/>
              </w:rPr>
              <w:t xml:space="preserve">Darnaus vystymosi – priemonės įgyvendinimas prisidės prie Jungtinių Tautų Darnaus vystymosi tikslų, konkrečiai, prie 1 tikslo „Panaikinti visų formų skurdą visose šalyse“, mažinant diskriminacijos apraiškas, kurios lemia ir skurdą. </w:t>
            </w:r>
          </w:p>
          <w:p w14:paraId="4A1E7330" w14:textId="77777777" w:rsidR="006748C3" w:rsidRPr="001D5207" w:rsidRDefault="006748C3" w:rsidP="006748C3">
            <w:pPr>
              <w:tabs>
                <w:tab w:val="left" w:pos="598"/>
              </w:tabs>
              <w:ind w:left="28" w:firstLine="28"/>
              <w:jc w:val="both"/>
              <w:rPr>
                <w:rStyle w:val="normaltextrun"/>
                <w:color w:val="000000"/>
                <w:sz w:val="22"/>
                <w:szCs w:val="22"/>
              </w:rPr>
            </w:pPr>
            <w:r w:rsidRPr="001D5207">
              <w:rPr>
                <w:rStyle w:val="normaltextrun"/>
                <w:color w:val="000000"/>
                <w:sz w:val="22"/>
                <w:szCs w:val="22"/>
              </w:rPr>
              <w:t>Lygių galimybių visiems – priemonė tiesiogiai prisidės prie šio principo ir Nacionaliniame pažangos plane numatytų principo rodiklių gerinimo. Priemonės veiklos siekia gerinti dėl galimos diskriminacijos pažeidžiamų visuomenės grupių padėtį visuomenėje, mažinant diskriminaciją ir šalinant diskriminacijos priežastis.</w:t>
            </w:r>
          </w:p>
          <w:p w14:paraId="0D35DB45" w14:textId="69190ABC" w:rsidR="006748C3" w:rsidRPr="001D5207" w:rsidRDefault="00815093" w:rsidP="006748C3">
            <w:pPr>
              <w:ind w:left="28" w:firstLine="28"/>
              <w:jc w:val="both"/>
              <w:rPr>
                <w:strike/>
                <w:sz w:val="22"/>
                <w:szCs w:val="22"/>
              </w:rPr>
            </w:pPr>
            <w:r w:rsidRPr="001D5207">
              <w:rPr>
                <w:sz w:val="22"/>
                <w:szCs w:val="22"/>
              </w:rPr>
              <w:t>Bus užtikrintas horizontaliųjų principų laikymasis, aktyviai prisidėta prie horizontaliųjų principų „Darnus vystymasis“ ir „Lygios galimybės visiems“  įgyvendinimo: moterų ir vyrų lygybės ir (ar) nediskriminavimo,</w:t>
            </w:r>
            <w:r w:rsidRPr="00F26B82">
              <w:rPr>
                <w:color w:val="242424"/>
                <w:sz w:val="22"/>
                <w:szCs w:val="22"/>
                <w:highlight w:val="yellow"/>
                <w:bdr w:val="none" w:sz="0" w:space="0" w:color="auto" w:frame="1"/>
              </w:rPr>
              <w:t xml:space="preserve"> </w:t>
            </w:r>
            <w:r w:rsidRPr="001D5207">
              <w:rPr>
                <w:color w:val="242424"/>
                <w:sz w:val="22"/>
                <w:szCs w:val="22"/>
                <w:bdr w:val="none" w:sz="0" w:space="0" w:color="auto" w:frame="1"/>
                <w:lang w:eastAsia="lt-LT"/>
              </w:rPr>
              <w:t>įskaitant prieinamumo visiems reikalavimo užtikrinimą</w:t>
            </w:r>
            <w:r w:rsidRPr="001D5207">
              <w:rPr>
                <w:color w:val="242424"/>
                <w:sz w:val="22"/>
                <w:szCs w:val="22"/>
                <w:bdr w:val="none" w:sz="0" w:space="0" w:color="auto" w:frame="1"/>
              </w:rPr>
              <w:t>,</w:t>
            </w:r>
            <w:r w:rsidRPr="001D5207">
              <w:rPr>
                <w:color w:val="242424"/>
                <w:sz w:val="22"/>
                <w:szCs w:val="22"/>
                <w:shd w:val="clear" w:color="auto" w:fill="FFFFFF"/>
              </w:rPr>
              <w:t xml:space="preserve"> įtvirtintą Jungtinių Tautų neįgaliųjų teisių konvencijoje, užtikrinant kokybiškų paslaugų tolygų pasiekiamumą visoje šalyje</w:t>
            </w:r>
            <w:r w:rsidR="006748C3" w:rsidRPr="001D5207">
              <w:rPr>
                <w:sz w:val="22"/>
                <w:szCs w:val="22"/>
              </w:rPr>
              <w:t xml:space="preserve">. Priemonės - modernizuoti infrastruktūrą plėtojant socialinės globos paslaugas senyvo amžiaus asmenims, -  veikla padidins ilgalaikės socialinės globos paslaugų prieinamumą  senyvo amžiaus asmenims, t. y. 10 šalies regionų veikiančiose 25 valstybės socialinės globos įstaigose, sudarys sąlygas senyvo amžiaus asmenims kuo ilgiau gyventi visavertį gyvenimą, pagerins jų gyvenimo kokybę, sumažins socialinę atskirtį ir padidins teikiamų socialinių globos paslaugų kokybę. </w:t>
            </w:r>
          </w:p>
          <w:p w14:paraId="6629AFF2" w14:textId="77777777" w:rsidR="006748C3" w:rsidRPr="001D5207" w:rsidRDefault="006748C3" w:rsidP="006748C3">
            <w:pPr>
              <w:shd w:val="clear" w:color="auto" w:fill="FFFFFF" w:themeFill="background1"/>
              <w:tabs>
                <w:tab w:val="left" w:pos="598"/>
              </w:tabs>
              <w:ind w:left="28" w:firstLine="28"/>
              <w:jc w:val="both"/>
              <w:rPr>
                <w:b/>
                <w:bCs/>
                <w:sz w:val="22"/>
                <w:szCs w:val="22"/>
              </w:rPr>
            </w:pPr>
            <w:r w:rsidRPr="001D5207">
              <w:rPr>
                <w:b/>
                <w:bCs/>
                <w:sz w:val="22"/>
                <w:szCs w:val="22"/>
              </w:rPr>
              <w:t>-Projektų vykdytojai:</w:t>
            </w:r>
          </w:p>
          <w:p w14:paraId="684FB47F" w14:textId="77777777" w:rsidR="006748C3" w:rsidRPr="001D5207" w:rsidRDefault="006748C3" w:rsidP="006748C3">
            <w:pPr>
              <w:ind w:left="28" w:firstLine="28"/>
              <w:jc w:val="both"/>
              <w:rPr>
                <w:sz w:val="22"/>
                <w:szCs w:val="22"/>
              </w:rPr>
            </w:pPr>
            <w:r w:rsidRPr="001D5207">
              <w:rPr>
                <w:sz w:val="22"/>
                <w:szCs w:val="22"/>
              </w:rPr>
              <w:t xml:space="preserve">Už  investicinių veiklų įgyvendinimą atsakingos 25 valstybės socialinės globos įstaigos – jų projektai atrenkami  projektų planavimo būdu, pagal  SADM ministro patvirtintą </w:t>
            </w:r>
            <w:r w:rsidRPr="001D5207">
              <w:rPr>
                <w:color w:val="000000"/>
                <w:sz w:val="22"/>
                <w:szCs w:val="22"/>
                <w:lang w:eastAsia="lt-LT"/>
              </w:rPr>
              <w:t xml:space="preserve"> projektų finansavimo, įgyvendinimo ir administravimo</w:t>
            </w:r>
            <w:r w:rsidRPr="001D5207">
              <w:rPr>
                <w:sz w:val="22"/>
                <w:szCs w:val="22"/>
              </w:rPr>
              <w:t xml:space="preserve"> tvarką, vadovaujantis Strateginio valdymo metodika </w:t>
            </w:r>
            <w:r w:rsidRPr="001D5207">
              <w:rPr>
                <w:rStyle w:val="Puslapioinaosnuoroda"/>
                <w:sz w:val="22"/>
                <w:szCs w:val="22"/>
              </w:rPr>
              <w:footnoteReference w:id="27"/>
            </w:r>
            <w:r w:rsidRPr="001D5207">
              <w:rPr>
                <w:sz w:val="22"/>
                <w:szCs w:val="22"/>
              </w:rPr>
              <w:t>.</w:t>
            </w:r>
          </w:p>
          <w:p w14:paraId="54CC6751" w14:textId="5D927127" w:rsidR="006748C3" w:rsidRPr="001D5207" w:rsidRDefault="006748C3" w:rsidP="006748C3">
            <w:pPr>
              <w:tabs>
                <w:tab w:val="left" w:pos="598"/>
              </w:tabs>
              <w:ind w:left="28" w:firstLine="28"/>
              <w:jc w:val="both"/>
              <w:rPr>
                <w:sz w:val="22"/>
                <w:szCs w:val="22"/>
              </w:rPr>
            </w:pPr>
            <w:r w:rsidRPr="001D5207">
              <w:rPr>
                <w:b/>
                <w:bCs/>
                <w:sz w:val="22"/>
                <w:szCs w:val="22"/>
              </w:rPr>
              <w:t>-Projektų atrankos būdas</w:t>
            </w:r>
            <w:r w:rsidRPr="00F26B82">
              <w:rPr>
                <w:sz w:val="22"/>
                <w:szCs w:val="22"/>
              </w:rPr>
              <w:t xml:space="preserve"> </w:t>
            </w:r>
            <w:r w:rsidR="00F60DCF">
              <w:rPr>
                <w:sz w:val="22"/>
                <w:szCs w:val="22"/>
              </w:rPr>
              <w:t>–</w:t>
            </w:r>
            <w:r w:rsidRPr="00F26B82">
              <w:rPr>
                <w:sz w:val="22"/>
                <w:szCs w:val="22"/>
              </w:rPr>
              <w:t xml:space="preserve"> </w:t>
            </w:r>
            <w:r w:rsidRPr="001D5207">
              <w:rPr>
                <w:sz w:val="22"/>
                <w:szCs w:val="22"/>
              </w:rPr>
              <w:t>projektų planavimas.</w:t>
            </w:r>
          </w:p>
          <w:p w14:paraId="40A47FF1" w14:textId="560BDDA7" w:rsidR="006748C3" w:rsidRPr="001D5207" w:rsidRDefault="006748C3" w:rsidP="006748C3">
            <w:pPr>
              <w:tabs>
                <w:tab w:val="left" w:pos="598"/>
              </w:tabs>
              <w:ind w:left="28" w:firstLine="28"/>
              <w:jc w:val="both"/>
              <w:rPr>
                <w:sz w:val="22"/>
                <w:szCs w:val="22"/>
              </w:rPr>
            </w:pPr>
            <w:r w:rsidRPr="001D5207">
              <w:rPr>
                <w:b/>
                <w:bCs/>
                <w:sz w:val="22"/>
                <w:szCs w:val="22"/>
              </w:rPr>
              <w:t>-</w:t>
            </w:r>
            <w:r w:rsidRPr="00F26B82">
              <w:rPr>
                <w:b/>
                <w:sz w:val="16"/>
                <w:szCs w:val="16"/>
              </w:rPr>
              <w:t xml:space="preserve"> </w:t>
            </w:r>
            <w:r w:rsidRPr="001D5207">
              <w:rPr>
                <w:b/>
                <w:bCs/>
                <w:sz w:val="22"/>
                <w:szCs w:val="22"/>
              </w:rPr>
              <w:t xml:space="preserve">Projektus administruojančioji institucija </w:t>
            </w:r>
            <w:r w:rsidR="00F60DCF">
              <w:rPr>
                <w:b/>
                <w:bCs/>
                <w:sz w:val="22"/>
                <w:szCs w:val="22"/>
              </w:rPr>
              <w:t>–</w:t>
            </w:r>
            <w:r w:rsidRPr="001D5207">
              <w:rPr>
                <w:b/>
                <w:bCs/>
                <w:sz w:val="22"/>
                <w:szCs w:val="22"/>
              </w:rPr>
              <w:t xml:space="preserve"> </w:t>
            </w:r>
            <w:r w:rsidRPr="001D5207">
              <w:rPr>
                <w:sz w:val="22"/>
                <w:szCs w:val="22"/>
              </w:rPr>
              <w:t>Socialinių paslaugų priežiūros departamentas prie Socialinės apsaugos ir darbo ministerijos.</w:t>
            </w:r>
          </w:p>
          <w:p w14:paraId="01CD2183" w14:textId="77777777" w:rsidR="006748C3" w:rsidRPr="00F26B82" w:rsidRDefault="006748C3" w:rsidP="006748C3">
            <w:pPr>
              <w:tabs>
                <w:tab w:val="left" w:pos="598"/>
              </w:tabs>
              <w:ind w:left="28" w:firstLine="28"/>
              <w:jc w:val="both"/>
              <w:rPr>
                <w:sz w:val="22"/>
                <w:szCs w:val="22"/>
              </w:rPr>
            </w:pPr>
            <w:bookmarkStart w:id="6" w:name="_Hlk169685090"/>
            <w:r w:rsidRPr="001D5207">
              <w:rPr>
                <w:b/>
                <w:bCs/>
                <w:sz w:val="22"/>
                <w:szCs w:val="22"/>
              </w:rPr>
              <w:t xml:space="preserve">-Finansavimo forma – </w:t>
            </w:r>
            <w:r w:rsidRPr="001D5207">
              <w:rPr>
                <w:sz w:val="22"/>
                <w:szCs w:val="22"/>
              </w:rPr>
              <w:t>Dotacija</w:t>
            </w:r>
            <w:r w:rsidRPr="001D5207">
              <w:rPr>
                <w:b/>
                <w:bCs/>
                <w:sz w:val="22"/>
                <w:szCs w:val="22"/>
              </w:rPr>
              <w:t xml:space="preserve">. </w:t>
            </w:r>
            <w:r w:rsidRPr="00F26B82">
              <w:rPr>
                <w:sz w:val="22"/>
                <w:szCs w:val="22"/>
              </w:rPr>
              <w:t xml:space="preserve"> </w:t>
            </w:r>
            <w:bookmarkEnd w:id="6"/>
          </w:p>
          <w:p w14:paraId="358B53B7" w14:textId="77777777" w:rsidR="006748C3" w:rsidRPr="001D5207" w:rsidRDefault="006748C3" w:rsidP="006748C3">
            <w:pPr>
              <w:tabs>
                <w:tab w:val="left" w:pos="598"/>
              </w:tabs>
              <w:ind w:left="28" w:firstLine="28"/>
              <w:jc w:val="both"/>
              <w:rPr>
                <w:b/>
                <w:bCs/>
                <w:sz w:val="22"/>
                <w:szCs w:val="22"/>
              </w:rPr>
            </w:pPr>
            <w:r w:rsidRPr="001D5207">
              <w:rPr>
                <w:b/>
                <w:bCs/>
                <w:sz w:val="22"/>
                <w:szCs w:val="22"/>
              </w:rPr>
              <w:t>Finansavimo forma vienoda I ir II alternatyvose.</w:t>
            </w:r>
          </w:p>
          <w:p w14:paraId="3D176501" w14:textId="77777777" w:rsidR="006748C3" w:rsidRPr="001D5207" w:rsidRDefault="006748C3" w:rsidP="006748C3">
            <w:pPr>
              <w:tabs>
                <w:tab w:val="left" w:pos="598"/>
              </w:tabs>
              <w:ind w:left="28" w:firstLine="28"/>
              <w:jc w:val="both"/>
              <w:rPr>
                <w:b/>
                <w:bCs/>
                <w:sz w:val="22"/>
                <w:szCs w:val="22"/>
              </w:rPr>
            </w:pPr>
            <w:r w:rsidRPr="001D5207">
              <w:rPr>
                <w:b/>
                <w:bCs/>
                <w:sz w:val="22"/>
                <w:szCs w:val="22"/>
              </w:rPr>
              <w:t>Finansavimo apimtis nevienoda I ir II alternatyvose.</w:t>
            </w:r>
          </w:p>
          <w:p w14:paraId="13D4518E" w14:textId="77777777" w:rsidR="006748C3" w:rsidRPr="00F26B82" w:rsidRDefault="006748C3" w:rsidP="006748C3">
            <w:pPr>
              <w:ind w:left="28" w:firstLine="28"/>
              <w:jc w:val="both"/>
              <w:rPr>
                <w:sz w:val="22"/>
                <w:szCs w:val="22"/>
              </w:rPr>
            </w:pPr>
            <w:r w:rsidRPr="00F26B82">
              <w:rPr>
                <w:sz w:val="22"/>
                <w:szCs w:val="22"/>
              </w:rPr>
              <w:t xml:space="preserve">Projektams įgyvendinti skiriamas finansavimas sudaro iki 100 proc. visų tinkamų finansuoti projektų išlaidų. </w:t>
            </w:r>
            <w:r w:rsidRPr="001D5207">
              <w:rPr>
                <w:b/>
                <w:bCs/>
                <w:sz w:val="22"/>
                <w:szCs w:val="22"/>
              </w:rPr>
              <w:t>Investicijų suma</w:t>
            </w:r>
            <w:r w:rsidRPr="00F26B82">
              <w:rPr>
                <w:sz w:val="22"/>
                <w:szCs w:val="22"/>
              </w:rPr>
              <w:t>:</w:t>
            </w:r>
          </w:p>
          <w:p w14:paraId="53496045" w14:textId="7658AF4B" w:rsidR="006748C3" w:rsidRPr="001D5207" w:rsidRDefault="006748C3" w:rsidP="006748C3">
            <w:pPr>
              <w:ind w:left="28" w:firstLine="28"/>
              <w:jc w:val="both"/>
              <w:rPr>
                <w:sz w:val="22"/>
                <w:szCs w:val="22"/>
              </w:rPr>
            </w:pPr>
            <w:r w:rsidRPr="001D5207">
              <w:rPr>
                <w:b/>
                <w:bCs/>
                <w:sz w:val="22"/>
                <w:szCs w:val="22"/>
              </w:rPr>
              <w:t xml:space="preserve">I alternatyva </w:t>
            </w:r>
            <w:r w:rsidR="00C87A44">
              <w:rPr>
                <w:b/>
                <w:bCs/>
                <w:sz w:val="22"/>
                <w:szCs w:val="22"/>
              </w:rPr>
              <w:t xml:space="preserve"> - </w:t>
            </w:r>
            <w:r w:rsidR="00C87A44" w:rsidRPr="001D5207">
              <w:rPr>
                <w:color w:val="000000" w:themeColor="text1"/>
                <w:sz w:val="22"/>
                <w:szCs w:val="22"/>
              </w:rPr>
              <w:t xml:space="preserve">valstybės socialinės globos </w:t>
            </w:r>
            <w:r w:rsidR="00C87A44" w:rsidRPr="001D5207">
              <w:rPr>
                <w:b/>
                <w:bCs/>
                <w:color w:val="000000" w:themeColor="text1"/>
                <w:sz w:val="22"/>
                <w:szCs w:val="22"/>
              </w:rPr>
              <w:t>įstaigų infrastruktūros modernizavimas</w:t>
            </w:r>
            <w:r w:rsidR="00C87A44" w:rsidRPr="001D5207">
              <w:rPr>
                <w:color w:val="000000" w:themeColor="text1"/>
                <w:sz w:val="22"/>
                <w:szCs w:val="22"/>
              </w:rPr>
              <w:t xml:space="preserve"> </w:t>
            </w:r>
            <w:r w:rsidRPr="00F26B82">
              <w:rPr>
                <w:sz w:val="22"/>
                <w:szCs w:val="22"/>
              </w:rPr>
              <w:t>–</w:t>
            </w:r>
            <w:r w:rsidRPr="00F26B82">
              <w:rPr>
                <w:rFonts w:eastAsiaTheme="minorEastAsia"/>
                <w:b/>
                <w:bCs/>
                <w:color w:val="000000"/>
                <w:kern w:val="24"/>
                <w:sz w:val="22"/>
                <w:szCs w:val="22"/>
                <w:lang w:eastAsia="lt-LT"/>
              </w:rPr>
              <w:t xml:space="preserve"> </w:t>
            </w:r>
            <w:r w:rsidRPr="001D5207">
              <w:rPr>
                <w:rFonts w:eastAsiaTheme="minorEastAsia"/>
                <w:b/>
                <w:bCs/>
                <w:color w:val="000000"/>
                <w:kern w:val="24"/>
                <w:sz w:val="22"/>
                <w:szCs w:val="22"/>
                <w:lang w:eastAsia="lt-LT"/>
              </w:rPr>
              <w:t>40</w:t>
            </w:r>
            <w:r w:rsidRPr="001D5207">
              <w:rPr>
                <w:b/>
                <w:bCs/>
                <w:sz w:val="22"/>
                <w:szCs w:val="22"/>
              </w:rPr>
              <w:t xml:space="preserve"> 032 923 Eur.</w:t>
            </w:r>
            <w:r w:rsidRPr="001D5207">
              <w:rPr>
                <w:sz w:val="22"/>
                <w:szCs w:val="22"/>
              </w:rPr>
              <w:t xml:space="preserve"> Vertinant 25 valstybės socialinės globos įstaigų infrastruktūros modernizavimą buvo pasirinktas investicijų taikymas trimis aspektais:</w:t>
            </w:r>
          </w:p>
          <w:p w14:paraId="40FF0CEF" w14:textId="77777777" w:rsidR="006748C3" w:rsidRPr="001D5207" w:rsidRDefault="006748C3" w:rsidP="00990B4B">
            <w:pPr>
              <w:pStyle w:val="Sraopastraipa"/>
              <w:numPr>
                <w:ilvl w:val="0"/>
                <w:numId w:val="2"/>
              </w:numPr>
              <w:ind w:left="318"/>
              <w:jc w:val="both"/>
              <w:rPr>
                <w:sz w:val="22"/>
                <w:szCs w:val="22"/>
              </w:rPr>
            </w:pPr>
            <w:r w:rsidRPr="001D5207">
              <w:rPr>
                <w:b/>
                <w:bCs/>
                <w:sz w:val="22"/>
                <w:szCs w:val="22"/>
              </w:rPr>
              <w:t>paprastasis remontas</w:t>
            </w:r>
            <w:r w:rsidRPr="001D5207">
              <w:rPr>
                <w:sz w:val="22"/>
                <w:szCs w:val="22"/>
              </w:rPr>
              <w:t xml:space="preserve">, kuomet remontuojamos esamos patalpos, nekeičiant sienų konstrukcijų (1-oje socialinės globos įstaigos infrastruktūroje); </w:t>
            </w:r>
          </w:p>
          <w:p w14:paraId="13A00CCF" w14:textId="77777777" w:rsidR="006748C3" w:rsidRPr="001D5207" w:rsidRDefault="006748C3" w:rsidP="00990B4B">
            <w:pPr>
              <w:pStyle w:val="Sraopastraipa"/>
              <w:numPr>
                <w:ilvl w:val="0"/>
                <w:numId w:val="2"/>
              </w:numPr>
              <w:ind w:left="318"/>
              <w:jc w:val="both"/>
              <w:rPr>
                <w:sz w:val="22"/>
                <w:szCs w:val="22"/>
              </w:rPr>
            </w:pPr>
            <w:r w:rsidRPr="001D5207">
              <w:rPr>
                <w:b/>
                <w:bCs/>
                <w:sz w:val="22"/>
                <w:szCs w:val="22"/>
              </w:rPr>
              <w:lastRenderedPageBreak/>
              <w:t>kapitalinis remontas</w:t>
            </w:r>
            <w:r w:rsidRPr="001D5207">
              <w:rPr>
                <w:sz w:val="22"/>
                <w:szCs w:val="22"/>
              </w:rPr>
              <w:t>, kuomet keičiamos sienų konstrukcijos, įrengiama nauja inžinerinė infrastruktūra (15-oje</w:t>
            </w:r>
            <w:r w:rsidRPr="001D5207">
              <w:rPr>
                <w:b/>
                <w:bCs/>
                <w:sz w:val="22"/>
                <w:szCs w:val="22"/>
              </w:rPr>
              <w:t xml:space="preserve"> </w:t>
            </w:r>
            <w:r w:rsidRPr="001D5207">
              <w:rPr>
                <w:sz w:val="22"/>
                <w:szCs w:val="22"/>
              </w:rPr>
              <w:t xml:space="preserve">socialinės globos įstaigų infrastruktūroje); </w:t>
            </w:r>
          </w:p>
          <w:p w14:paraId="7E182ED2" w14:textId="77777777" w:rsidR="006748C3" w:rsidRPr="001D5207" w:rsidRDefault="006748C3" w:rsidP="00990B4B">
            <w:pPr>
              <w:pStyle w:val="Sraopastraipa"/>
              <w:numPr>
                <w:ilvl w:val="0"/>
                <w:numId w:val="2"/>
              </w:numPr>
              <w:ind w:left="318"/>
              <w:jc w:val="both"/>
              <w:rPr>
                <w:sz w:val="22"/>
                <w:szCs w:val="22"/>
              </w:rPr>
            </w:pPr>
            <w:r w:rsidRPr="001D5207">
              <w:rPr>
                <w:b/>
                <w:bCs/>
                <w:sz w:val="22"/>
                <w:szCs w:val="22"/>
              </w:rPr>
              <w:t xml:space="preserve">rekonstrukcija </w:t>
            </w:r>
            <w:r w:rsidRPr="001D5207">
              <w:rPr>
                <w:sz w:val="22"/>
                <w:szCs w:val="22"/>
              </w:rPr>
              <w:t>bus</w:t>
            </w:r>
            <w:r w:rsidRPr="001D5207">
              <w:rPr>
                <w:b/>
                <w:bCs/>
                <w:sz w:val="22"/>
                <w:szCs w:val="22"/>
              </w:rPr>
              <w:t xml:space="preserve"> </w:t>
            </w:r>
            <w:r w:rsidRPr="001D5207">
              <w:rPr>
                <w:sz w:val="22"/>
                <w:szCs w:val="22"/>
              </w:rPr>
              <w:t>keičiamos sienų konstrukcijos, įrengiama nauja inžinerinė infrastruktūra, apšiltinamos išorinės pastato sienos, šiltinamas pastato stogas (9-iose</w:t>
            </w:r>
            <w:r w:rsidRPr="001D5207">
              <w:rPr>
                <w:b/>
                <w:bCs/>
                <w:sz w:val="22"/>
                <w:szCs w:val="22"/>
              </w:rPr>
              <w:t xml:space="preserve"> </w:t>
            </w:r>
            <w:r w:rsidRPr="001D5207">
              <w:rPr>
                <w:sz w:val="22"/>
                <w:szCs w:val="22"/>
              </w:rPr>
              <w:t>socialinės globos įstaigų infrastruktūrose)</w:t>
            </w:r>
            <w:r w:rsidRPr="001D5207">
              <w:rPr>
                <w:b/>
                <w:bCs/>
                <w:sz w:val="22"/>
                <w:szCs w:val="22"/>
              </w:rPr>
              <w:t>.</w:t>
            </w:r>
            <w:r w:rsidRPr="001D5207">
              <w:rPr>
                <w:sz w:val="22"/>
                <w:szCs w:val="22"/>
              </w:rPr>
              <w:t xml:space="preserve"> </w:t>
            </w:r>
          </w:p>
          <w:p w14:paraId="00C93564" w14:textId="3B2BBB6F" w:rsidR="006748C3" w:rsidRPr="001D5207" w:rsidRDefault="006748C3" w:rsidP="006748C3">
            <w:pPr>
              <w:ind w:left="56"/>
              <w:jc w:val="both"/>
              <w:rPr>
                <w:b/>
                <w:bCs/>
                <w:sz w:val="22"/>
                <w:szCs w:val="22"/>
              </w:rPr>
            </w:pPr>
            <w:r w:rsidRPr="001D5207">
              <w:rPr>
                <w:b/>
                <w:bCs/>
                <w:sz w:val="22"/>
                <w:szCs w:val="22"/>
              </w:rPr>
              <w:t xml:space="preserve">II alternatyva </w:t>
            </w:r>
            <w:r w:rsidR="00F60DCF">
              <w:rPr>
                <w:b/>
                <w:bCs/>
                <w:sz w:val="22"/>
                <w:szCs w:val="22"/>
              </w:rPr>
              <w:t>–</w:t>
            </w:r>
            <w:r w:rsidRPr="001D5207">
              <w:rPr>
                <w:b/>
                <w:bCs/>
                <w:sz w:val="22"/>
                <w:szCs w:val="22"/>
              </w:rPr>
              <w:t xml:space="preserve"> nauja</w:t>
            </w:r>
            <w:r w:rsidRPr="001D5207">
              <w:rPr>
                <w:sz w:val="22"/>
                <w:szCs w:val="22"/>
              </w:rPr>
              <w:t xml:space="preserve"> valstybės socialinės globos namų </w:t>
            </w:r>
            <w:r w:rsidRPr="001D5207">
              <w:rPr>
                <w:b/>
                <w:bCs/>
                <w:sz w:val="22"/>
                <w:szCs w:val="22"/>
              </w:rPr>
              <w:t>statyba – 252 815 120 Eur.</w:t>
            </w:r>
          </w:p>
          <w:p w14:paraId="4211DD9F" w14:textId="77777777" w:rsidR="006748C3" w:rsidRPr="001D5207" w:rsidRDefault="006748C3" w:rsidP="006748C3">
            <w:pPr>
              <w:pStyle w:val="Komentarotekstas"/>
              <w:spacing w:after="0"/>
              <w:ind w:left="28" w:firstLine="28"/>
              <w:jc w:val="both"/>
              <w:rPr>
                <w:rFonts w:ascii="Times New Roman" w:hAnsi="Times New Roman" w:cs="Times New Roman"/>
                <w:b/>
                <w:bCs/>
                <w:sz w:val="22"/>
                <w:szCs w:val="22"/>
                <w:lang w:val="lt-LT"/>
              </w:rPr>
            </w:pPr>
            <w:r w:rsidRPr="001D5207">
              <w:rPr>
                <w:rFonts w:ascii="Times New Roman" w:hAnsi="Times New Roman" w:cs="Times New Roman"/>
                <w:sz w:val="22"/>
                <w:szCs w:val="22"/>
                <w:lang w:val="lt-LT"/>
              </w:rPr>
              <w:t xml:space="preserve">Vertinant 25 naujų valstybės socialinės globos namų statybų  kaštus buvo vadovaujamasi istoriniais dviejų naujų valstybės socialines globos įstaigų specializuotos slaugos ir globos namų padalinių statybų ir montuojamos įrangos išlaidų duomenimis: Strėvininkų specializuotos slaugos ir globos padalinio Kaišiadoryse, skirto  40 asmenų (statybos baigtos 2023 m. gruodį) ir Marijampolės  specialiųjų socialinės globos namų specializuotos slaugos ir socialinės globos padalinio, skirto  40 asmenų (statybos baigtos 2022 m. gruodį). </w:t>
            </w:r>
          </w:p>
          <w:p w14:paraId="4270019E" w14:textId="14F2A5D6" w:rsidR="006748C3" w:rsidRPr="001D5207" w:rsidRDefault="006748C3" w:rsidP="006748C3">
            <w:pPr>
              <w:pStyle w:val="Komentarotekstas"/>
              <w:spacing w:after="0"/>
              <w:ind w:left="28" w:firstLine="28"/>
              <w:jc w:val="both"/>
              <w:rPr>
                <w:rFonts w:ascii="Times New Roman" w:hAnsi="Times New Roman" w:cs="Times New Roman"/>
                <w:sz w:val="22"/>
                <w:szCs w:val="22"/>
                <w:lang w:val="lt-LT"/>
              </w:rPr>
            </w:pPr>
            <w:r w:rsidRPr="001D5207">
              <w:rPr>
                <w:rFonts w:ascii="Times New Roman" w:hAnsi="Times New Roman" w:cs="Times New Roman"/>
                <w:b/>
                <w:bCs/>
                <w:sz w:val="22"/>
                <w:szCs w:val="22"/>
                <w:lang w:val="lt-LT"/>
              </w:rPr>
              <w:t>Rodiklis</w:t>
            </w:r>
            <w:r w:rsidRPr="001D5207">
              <w:rPr>
                <w:rFonts w:ascii="Times New Roman" w:hAnsi="Times New Roman" w:cs="Times New Roman"/>
                <w:sz w:val="22"/>
                <w:szCs w:val="22"/>
                <w:lang w:val="lt-LT"/>
              </w:rPr>
              <w:t xml:space="preserve"> </w:t>
            </w:r>
            <w:r w:rsidR="00F60DCF">
              <w:rPr>
                <w:rFonts w:ascii="Times New Roman" w:hAnsi="Times New Roman" w:cs="Times New Roman"/>
                <w:sz w:val="22"/>
                <w:szCs w:val="22"/>
                <w:lang w:val="lt-LT"/>
              </w:rPr>
              <w:t>–</w:t>
            </w:r>
            <w:r w:rsidRPr="001D5207">
              <w:rPr>
                <w:rFonts w:ascii="Times New Roman" w:hAnsi="Times New Roman" w:cs="Times New Roman"/>
                <w:sz w:val="22"/>
                <w:szCs w:val="22"/>
                <w:lang w:val="lt-LT"/>
              </w:rPr>
              <w:t xml:space="preserve"> senyvo amžiaus asmenų, gavusių socialines paslaugas naujoje ar modernizuotoje infrastruktūroje, skaičius </w:t>
            </w:r>
            <w:r w:rsidRPr="001D5207">
              <w:rPr>
                <w:rFonts w:ascii="Times New Roman" w:hAnsi="Times New Roman" w:cs="Times New Roman"/>
                <w:b/>
                <w:bCs/>
                <w:sz w:val="22"/>
                <w:szCs w:val="22"/>
                <w:lang w:val="lt-LT"/>
              </w:rPr>
              <w:t>vienodas abejose alternatyvose</w:t>
            </w:r>
            <w:r w:rsidRPr="001D5207">
              <w:rPr>
                <w:rFonts w:ascii="Times New Roman" w:hAnsi="Times New Roman" w:cs="Times New Roman"/>
                <w:sz w:val="22"/>
                <w:szCs w:val="22"/>
                <w:lang w:val="lt-LT"/>
              </w:rPr>
              <w:t xml:space="preserve"> </w:t>
            </w:r>
            <w:r w:rsidR="00F60DCF">
              <w:rPr>
                <w:rFonts w:ascii="Times New Roman" w:hAnsi="Times New Roman" w:cs="Times New Roman"/>
                <w:sz w:val="22"/>
                <w:szCs w:val="22"/>
                <w:lang w:val="lt-LT"/>
              </w:rPr>
              <w:t>–</w:t>
            </w:r>
            <w:r w:rsidRPr="001D5207">
              <w:rPr>
                <w:rFonts w:ascii="Times New Roman" w:hAnsi="Times New Roman" w:cs="Times New Roman"/>
                <w:sz w:val="22"/>
                <w:szCs w:val="22"/>
                <w:lang w:val="lt-LT"/>
              </w:rPr>
              <w:t xml:space="preserve"> </w:t>
            </w:r>
            <w:r w:rsidRPr="001D5207">
              <w:rPr>
                <w:rFonts w:ascii="Times New Roman" w:hAnsi="Times New Roman" w:cs="Times New Roman"/>
                <w:b/>
                <w:bCs/>
                <w:color w:val="000000" w:themeColor="text1"/>
                <w:sz w:val="22"/>
                <w:szCs w:val="22"/>
                <w:lang w:val="lt-LT"/>
              </w:rPr>
              <w:t>2736</w:t>
            </w:r>
            <w:r w:rsidRPr="001D5207">
              <w:rPr>
                <w:rFonts w:ascii="Times New Roman" w:hAnsi="Times New Roman" w:cs="Times New Roman"/>
                <w:b/>
                <w:bCs/>
                <w:sz w:val="22"/>
                <w:szCs w:val="22"/>
                <w:lang w:val="lt-LT"/>
              </w:rPr>
              <w:t xml:space="preserve"> asmenys </w:t>
            </w:r>
            <w:r w:rsidRPr="001D5207">
              <w:rPr>
                <w:rFonts w:ascii="Times New Roman" w:hAnsi="Times New Roman" w:cs="Times New Roman"/>
                <w:color w:val="000000" w:themeColor="text1"/>
                <w:sz w:val="22"/>
                <w:szCs w:val="22"/>
                <w:lang w:val="lt-LT"/>
              </w:rPr>
              <w:t xml:space="preserve">(iš jų – 1178 naujos vietos asmenims iš bendruomenės, o 1558 esamai socialinės globos vietai bus pagerinta jų kokybė). </w:t>
            </w:r>
          </w:p>
          <w:p w14:paraId="01B3D1AF" w14:textId="1F6A6B13" w:rsidR="00E44DC8" w:rsidRPr="001D5207" w:rsidRDefault="006748C3" w:rsidP="003B3917">
            <w:pPr>
              <w:tabs>
                <w:tab w:val="left" w:pos="598"/>
              </w:tabs>
              <w:ind w:firstLine="31"/>
              <w:jc w:val="both"/>
              <w:rPr>
                <w:color w:val="808080"/>
                <w:sz w:val="20"/>
              </w:rPr>
            </w:pPr>
            <w:r w:rsidRPr="001D5207">
              <w:rPr>
                <w:b/>
                <w:bCs/>
                <w:sz w:val="22"/>
                <w:szCs w:val="22"/>
              </w:rPr>
              <w:t>Rodiklis</w:t>
            </w:r>
            <w:r w:rsidRPr="001D5207">
              <w:rPr>
                <w:sz w:val="22"/>
                <w:szCs w:val="22"/>
              </w:rPr>
              <w:t xml:space="preserve">, kuris nusako modernizuojamų arba naujai pastatytų valstybės socialinės globos įstaigų skaičių  yra  </w:t>
            </w:r>
            <w:r w:rsidRPr="001D5207">
              <w:rPr>
                <w:b/>
                <w:bCs/>
                <w:sz w:val="22"/>
                <w:szCs w:val="22"/>
              </w:rPr>
              <w:t>vienodas abejose alternatyvose</w:t>
            </w:r>
            <w:r w:rsidRPr="001D5207">
              <w:rPr>
                <w:sz w:val="22"/>
                <w:szCs w:val="22"/>
              </w:rPr>
              <w:t xml:space="preserve"> – </w:t>
            </w:r>
            <w:r w:rsidRPr="001D5207">
              <w:rPr>
                <w:b/>
                <w:bCs/>
                <w:sz w:val="22"/>
                <w:szCs w:val="22"/>
              </w:rPr>
              <w:t>25 valstybės socialinės globos įstaigos</w:t>
            </w:r>
            <w:r w:rsidR="003B3917" w:rsidRPr="001D5207">
              <w:rPr>
                <w:b/>
                <w:bCs/>
                <w:sz w:val="22"/>
                <w:szCs w:val="22"/>
              </w:rPr>
              <w:t>.</w:t>
            </w:r>
          </w:p>
        </w:tc>
      </w:tr>
    </w:tbl>
    <w:p w14:paraId="44FFA05B" w14:textId="77777777" w:rsidR="00E44DC8" w:rsidRPr="00F26B82" w:rsidRDefault="00E44DC8">
      <w:pPr>
        <w:ind w:left="1080"/>
        <w:jc w:val="center"/>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44DC8" w:rsidRPr="00F26B82" w14:paraId="553C4862" w14:textId="77777777" w:rsidTr="006748C3">
        <w:tc>
          <w:tcPr>
            <w:tcW w:w="9628" w:type="dxa"/>
            <w:shd w:val="clear" w:color="auto" w:fill="DBE5F1" w:themeFill="accent1" w:themeFillTint="33"/>
          </w:tcPr>
          <w:p w14:paraId="125DE84A" w14:textId="77777777" w:rsidR="00E44DC8" w:rsidRPr="00F26B82" w:rsidRDefault="005C645F">
            <w:pPr>
              <w:keepNext/>
              <w:keepLines/>
              <w:jc w:val="center"/>
              <w:outlineLvl w:val="2"/>
              <w:rPr>
                <w:b/>
                <w:sz w:val="22"/>
                <w:szCs w:val="24"/>
              </w:rPr>
            </w:pPr>
            <w:r w:rsidRPr="00F26B82">
              <w:rPr>
                <w:b/>
                <w:sz w:val="22"/>
                <w:szCs w:val="24"/>
              </w:rPr>
              <w:t>ANTRASIS SKIRSNIS</w:t>
            </w:r>
          </w:p>
          <w:p w14:paraId="37A522FE" w14:textId="77777777" w:rsidR="00E44DC8" w:rsidRPr="00F26B82" w:rsidRDefault="005C645F">
            <w:pPr>
              <w:keepNext/>
              <w:keepLines/>
              <w:jc w:val="center"/>
              <w:outlineLvl w:val="2"/>
              <w:rPr>
                <w:b/>
                <w:caps/>
                <w:sz w:val="22"/>
                <w:szCs w:val="24"/>
              </w:rPr>
            </w:pPr>
            <w:r w:rsidRPr="00F26B82">
              <w:rPr>
                <w:b/>
                <w:caps/>
                <w:sz w:val="22"/>
                <w:szCs w:val="24"/>
              </w:rPr>
              <w:t>PLĖTROS PROGRAMOS PAŽANGOS Priemonės GERIAUSIOS alternatyvos PASIRINKIMAS</w:t>
            </w:r>
          </w:p>
        </w:tc>
      </w:tr>
      <w:tr w:rsidR="00E44DC8" w:rsidRPr="00F26B82" w14:paraId="5CBD07E1" w14:textId="77777777" w:rsidTr="006748C3">
        <w:tc>
          <w:tcPr>
            <w:tcW w:w="9628" w:type="dxa"/>
          </w:tcPr>
          <w:p w14:paraId="1ECD2E29" w14:textId="3BD0AE47" w:rsidR="006748C3" w:rsidRPr="001D5207" w:rsidRDefault="006748C3" w:rsidP="006748C3">
            <w:pPr>
              <w:jc w:val="both"/>
              <w:rPr>
                <w:sz w:val="22"/>
                <w:szCs w:val="22"/>
              </w:rPr>
            </w:pPr>
            <w:r w:rsidRPr="001D5207">
              <w:rPr>
                <w:sz w:val="22"/>
                <w:szCs w:val="22"/>
              </w:rPr>
              <w:t>Alternatyvos palyginimas atliekamas sąnaudų ir naudos analizės metodu, siekiant įvertinti ir pagrįsti socialin</w:t>
            </w:r>
            <w:r w:rsidR="00F60DCF">
              <w:rPr>
                <w:sz w:val="22"/>
                <w:szCs w:val="22"/>
              </w:rPr>
              <w:t>į–e</w:t>
            </w:r>
            <w:r w:rsidRPr="001D5207">
              <w:rPr>
                <w:sz w:val="22"/>
                <w:szCs w:val="22"/>
              </w:rPr>
              <w:t>konominį priemonės alternatyvų poveikį.</w:t>
            </w:r>
          </w:p>
          <w:p w14:paraId="4070A6A6" w14:textId="77777777" w:rsidR="006748C3" w:rsidRPr="001D5207" w:rsidRDefault="006748C3" w:rsidP="006748C3">
            <w:pPr>
              <w:jc w:val="both"/>
              <w:rPr>
                <w:sz w:val="22"/>
                <w:szCs w:val="22"/>
              </w:rPr>
            </w:pPr>
            <w:r w:rsidRPr="001D5207">
              <w:rPr>
                <w:sz w:val="22"/>
                <w:szCs w:val="22"/>
              </w:rPr>
              <w:t>Alternatyvos palyginimas atliktas naudojant skaičiuoklę, viešai paskelbtą adresu:</w:t>
            </w:r>
          </w:p>
          <w:p w14:paraId="3CB5FA48" w14:textId="77777777" w:rsidR="006748C3" w:rsidRPr="001D5207" w:rsidRDefault="00331100" w:rsidP="006748C3">
            <w:pPr>
              <w:jc w:val="both"/>
              <w:rPr>
                <w:sz w:val="22"/>
                <w:szCs w:val="22"/>
              </w:rPr>
            </w:pPr>
            <w:hyperlink r:id="rId8" w:history="1">
              <w:r w:rsidR="006748C3" w:rsidRPr="001D5207">
                <w:rPr>
                  <w:rStyle w:val="Hipersaitas"/>
                  <w:rFonts w:eastAsiaTheme="minorHAnsi"/>
                  <w:sz w:val="22"/>
                  <w:szCs w:val="22"/>
                </w:rPr>
                <w:t>priemoniu-skaiciuokle-v1-3_20240103.xlsm (live.com)</w:t>
              </w:r>
            </w:hyperlink>
          </w:p>
          <w:p w14:paraId="2C4F7D0A" w14:textId="77777777" w:rsidR="006748C3" w:rsidRPr="001D5207" w:rsidRDefault="006748C3" w:rsidP="006748C3">
            <w:pPr>
              <w:jc w:val="both"/>
              <w:rPr>
                <w:sz w:val="22"/>
                <w:szCs w:val="22"/>
              </w:rPr>
            </w:pPr>
            <w:r w:rsidRPr="001D5207">
              <w:rPr>
                <w:sz w:val="22"/>
                <w:szCs w:val="22"/>
              </w:rPr>
              <w:t xml:space="preserve">Prielaidos suformuotos, remiantis konversijos koeficientų apskaičiavimo ir socialinio ekonominio poveikio (naudos/žalos) vertinimo metodika, patvirtinta Viešosios įstaigos Centrinės projektų valdymo agentūros direktoriaus 2019 m. sausio 2 d. įsakymu Nr. 2019/8-1 (2024 m. sausio 15 d. įsakymo Nr. 2024/8-11 redakcija) bei tyrimų ir analizės socialinės globos sektoriaus ir valstybės socialinės globos įstaigų istoriniais duomenimis, pasitelkiamais aktualiais duomenų šaltiniais. </w:t>
            </w:r>
          </w:p>
          <w:p w14:paraId="007CBD28" w14:textId="45DB1E6F" w:rsidR="006748C3" w:rsidRPr="001D5207" w:rsidRDefault="006748C3" w:rsidP="006748C3">
            <w:pPr>
              <w:jc w:val="both"/>
              <w:rPr>
                <w:b/>
                <w:bCs/>
                <w:sz w:val="22"/>
                <w:szCs w:val="22"/>
              </w:rPr>
            </w:pPr>
            <w:r w:rsidRPr="001D5207">
              <w:rPr>
                <w:b/>
                <w:bCs/>
                <w:sz w:val="22"/>
                <w:szCs w:val="22"/>
              </w:rPr>
              <w:t>Socialinės</w:t>
            </w:r>
            <w:r w:rsidR="00F60DCF">
              <w:rPr>
                <w:b/>
                <w:bCs/>
                <w:sz w:val="22"/>
                <w:szCs w:val="22"/>
              </w:rPr>
              <w:t>–e</w:t>
            </w:r>
            <w:r w:rsidRPr="001D5207">
              <w:rPr>
                <w:b/>
                <w:bCs/>
                <w:sz w:val="22"/>
                <w:szCs w:val="22"/>
              </w:rPr>
              <w:t>konominės naudos apskaičiavimas</w:t>
            </w:r>
          </w:p>
          <w:p w14:paraId="4C7156D0" w14:textId="77777777" w:rsidR="006748C3" w:rsidRPr="001D5207" w:rsidRDefault="006748C3" w:rsidP="006748C3">
            <w:pPr>
              <w:jc w:val="both"/>
              <w:rPr>
                <w:sz w:val="22"/>
                <w:szCs w:val="22"/>
              </w:rPr>
            </w:pPr>
            <w:r w:rsidRPr="001D5207">
              <w:rPr>
                <w:sz w:val="22"/>
                <w:szCs w:val="22"/>
              </w:rPr>
              <w:t>Vertinant ekonominę naudą kiekvienos veiklos generuojama socialinė-ekonominė nauda įvertinta matuojant išvengtų privačių globos namų išlaidas, t. y. skaičiavimuose naudotas šis poveikio komponentas - padidėjęs priežiūros paslaugų prieinamumas (išvengtos privačių globos namų išlaidos) bei taip pat apskaičiuota išvengtų statybos sąnaudų vertė ir nauda (t. y. kiek sąnaudų yra nepatiriama, jeigu modernizuojami esami pastatai, o ne vykdoma nauja jų statyba). Socialinės-ekonominės naudos skaičiavimo prielaidos yra nurodytos priemonės skaičiuoklės darbalapyje „Nauda_1 alternatyvai“ ir  „Nauda_2 alternatyvai“. Prielaidos suformuotos, remiantis konversijos koeficientų apskaičiavimo ir socialinio ekonominio poveikio (naudos / žalos) vertinimo metodika patvirtinta Viešosios įstaigos Centrinės projektų valdymo agentūros direktoriaus 2019 m. sausio 2 d. įsakymu Nr. 2019/8-1(2024 m. sausio 15 d. įsakymo Nr. 2024/8-11 redakcija) bei tyrimų ir analizės socialinės globos  sektoriaus istoriniais duomenimis pasitelkiamais aktualiais duomenų šaltiniais. Priemonės finansinių išteklių panaudojimo skaičiavimai atlikti taikant sąnaudų ir naudos analizės (toliau – SNA) metodą. Analizė daryta remiantis SADM turima informacija, remiantis valstybės socialinės globos įstaigų pateiktais duomenimis, viešai prieinama statistine informacija.</w:t>
            </w:r>
          </w:p>
          <w:p w14:paraId="331C34A5" w14:textId="6320A36E" w:rsidR="006748C3" w:rsidRPr="001D5207" w:rsidRDefault="006748C3" w:rsidP="006748C3">
            <w:pPr>
              <w:jc w:val="both"/>
              <w:rPr>
                <w:sz w:val="22"/>
                <w:szCs w:val="22"/>
              </w:rPr>
            </w:pPr>
            <w:r w:rsidRPr="001D5207">
              <w:rPr>
                <w:sz w:val="22"/>
                <w:szCs w:val="22"/>
              </w:rPr>
              <w:t>Naudojant skaičiuoklę apskaičiuotos alternatyvos palyginamojo rodiklio (ekonominio naudos ir išlaidų santykio) reikšme:</w:t>
            </w:r>
          </w:p>
          <w:p w14:paraId="762A95DD" w14:textId="59B1CFAB" w:rsidR="006748C3" w:rsidRPr="001D5207" w:rsidRDefault="006748C3" w:rsidP="006748C3">
            <w:pPr>
              <w:jc w:val="both"/>
              <w:rPr>
                <w:sz w:val="22"/>
                <w:szCs w:val="22"/>
              </w:rPr>
            </w:pPr>
            <w:r w:rsidRPr="001D5207">
              <w:rPr>
                <w:sz w:val="22"/>
                <w:szCs w:val="22"/>
              </w:rPr>
              <w:t>Lentelė 3. Alternatyvų palyginimas pagal ekonominės naudos ir išlaidų santykio (ENIS) reikšmes.</w:t>
            </w:r>
          </w:p>
          <w:p w14:paraId="00F6D354" w14:textId="7A861049" w:rsidR="00766489" w:rsidRPr="001D5207" w:rsidRDefault="00766489" w:rsidP="00766489">
            <w:pPr>
              <w:jc w:val="both"/>
              <w:rPr>
                <w:b/>
                <w:bCs/>
                <w:sz w:val="22"/>
                <w:szCs w:val="22"/>
              </w:rPr>
            </w:pPr>
            <w:r w:rsidRPr="001D5207">
              <w:rPr>
                <w:b/>
                <w:bCs/>
                <w:sz w:val="22"/>
                <w:szCs w:val="22"/>
              </w:rPr>
              <w:t>Alternatyvų poveikis viešiesiems finansams nurodytas lentelėse žemiau:</w:t>
            </w:r>
          </w:p>
          <w:p w14:paraId="0023F29B" w14:textId="7E1ECAAB" w:rsidR="006748C3" w:rsidRPr="001D5207" w:rsidRDefault="006748C3" w:rsidP="006748C3">
            <w:pPr>
              <w:jc w:val="both"/>
              <w:rPr>
                <w:sz w:val="22"/>
                <w:szCs w:val="22"/>
              </w:rPr>
            </w:pPr>
          </w:p>
          <w:tbl>
            <w:tblPr>
              <w:tblStyle w:val="Lentelstinklelis"/>
              <w:tblpPr w:leftFromText="180" w:rightFromText="180" w:vertAnchor="text" w:horzAnchor="margin" w:tblpY="-289"/>
              <w:tblOverlap w:val="never"/>
              <w:tblW w:w="9524" w:type="dxa"/>
              <w:tblInd w:w="0" w:type="dxa"/>
              <w:tblCellMar>
                <w:left w:w="28" w:type="dxa"/>
                <w:right w:w="28" w:type="dxa"/>
              </w:tblCellMar>
              <w:tblLook w:val="04A0" w:firstRow="1" w:lastRow="0" w:firstColumn="1" w:lastColumn="0" w:noHBand="0" w:noVBand="1"/>
            </w:tblPr>
            <w:tblGrid>
              <w:gridCol w:w="1745"/>
              <w:gridCol w:w="5086"/>
              <w:gridCol w:w="2693"/>
            </w:tblGrid>
            <w:tr w:rsidR="006748C3" w:rsidRPr="001D05A8" w14:paraId="733ED23D" w14:textId="77777777" w:rsidTr="00067A3F">
              <w:trPr>
                <w:tblHeader/>
              </w:trPr>
              <w:tc>
                <w:tcPr>
                  <w:tcW w:w="916" w:type="pct"/>
                  <w:shd w:val="clear" w:color="auto" w:fill="EEECE1" w:themeFill="background2"/>
                  <w:noWrap/>
                  <w:vAlign w:val="center"/>
                  <w:hideMark/>
                </w:tcPr>
                <w:p w14:paraId="2179F20D" w14:textId="77777777" w:rsidR="006748C3" w:rsidRPr="001D05A8" w:rsidRDefault="006748C3" w:rsidP="006748C3">
                  <w:pPr>
                    <w:jc w:val="center"/>
                    <w:rPr>
                      <w:rFonts w:ascii="Times New Roman" w:eastAsia="Times New Roman" w:hAnsi="Times New Roman" w:cs="Times New Roman"/>
                      <w:b/>
                      <w:bCs/>
                    </w:rPr>
                  </w:pPr>
                  <w:r w:rsidRPr="001D05A8">
                    <w:rPr>
                      <w:rFonts w:ascii="Times New Roman" w:hAnsi="Times New Roman" w:cs="Times New Roman"/>
                      <w:b/>
                      <w:bCs/>
                    </w:rPr>
                    <w:t>Alternatyva</w:t>
                  </w:r>
                </w:p>
              </w:tc>
              <w:tc>
                <w:tcPr>
                  <w:tcW w:w="2670" w:type="pct"/>
                  <w:shd w:val="clear" w:color="auto" w:fill="EEECE1" w:themeFill="background2"/>
                  <w:vAlign w:val="center"/>
                  <w:hideMark/>
                </w:tcPr>
                <w:p w14:paraId="5E47A746" w14:textId="77777777" w:rsidR="006748C3" w:rsidRPr="001D05A8" w:rsidRDefault="006748C3" w:rsidP="006748C3">
                  <w:pPr>
                    <w:jc w:val="center"/>
                    <w:rPr>
                      <w:rFonts w:ascii="Times New Roman" w:eastAsia="Times New Roman" w:hAnsi="Times New Roman" w:cs="Times New Roman"/>
                      <w:b/>
                      <w:bCs/>
                    </w:rPr>
                  </w:pPr>
                  <w:r w:rsidRPr="001D05A8">
                    <w:rPr>
                      <w:rFonts w:ascii="Times New Roman" w:hAnsi="Times New Roman" w:cs="Times New Roman"/>
                      <w:b/>
                      <w:bCs/>
                    </w:rPr>
                    <w:t>Alternatyvos pavadinimas</w:t>
                  </w:r>
                </w:p>
              </w:tc>
              <w:tc>
                <w:tcPr>
                  <w:tcW w:w="1414" w:type="pct"/>
                  <w:shd w:val="clear" w:color="auto" w:fill="EEECE1" w:themeFill="background2"/>
                  <w:vAlign w:val="center"/>
                  <w:hideMark/>
                </w:tcPr>
                <w:p w14:paraId="7DE91E5D" w14:textId="77777777" w:rsidR="006748C3" w:rsidRPr="001D05A8" w:rsidRDefault="006748C3" w:rsidP="006748C3">
                  <w:pPr>
                    <w:jc w:val="center"/>
                    <w:rPr>
                      <w:rFonts w:ascii="Times New Roman" w:eastAsia="Times New Roman" w:hAnsi="Times New Roman" w:cs="Times New Roman"/>
                      <w:b/>
                      <w:bCs/>
                    </w:rPr>
                  </w:pPr>
                  <w:r w:rsidRPr="001D05A8">
                    <w:rPr>
                      <w:rFonts w:ascii="Times New Roman" w:hAnsi="Times New Roman" w:cs="Times New Roman"/>
                      <w:b/>
                      <w:bCs/>
                    </w:rPr>
                    <w:t>Ekonominės naudos ir išlaidų santykis (ENIS)</w:t>
                  </w:r>
                </w:p>
              </w:tc>
            </w:tr>
            <w:tr w:rsidR="006748C3" w:rsidRPr="001D05A8" w14:paraId="1B0276E5" w14:textId="77777777" w:rsidTr="006748C3">
              <w:tc>
                <w:tcPr>
                  <w:tcW w:w="916" w:type="pct"/>
                  <w:shd w:val="clear" w:color="auto" w:fill="auto"/>
                  <w:noWrap/>
                  <w:hideMark/>
                </w:tcPr>
                <w:p w14:paraId="4C14631F" w14:textId="77777777" w:rsidR="006748C3" w:rsidRPr="001D05A8" w:rsidRDefault="006748C3" w:rsidP="006748C3">
                  <w:pPr>
                    <w:jc w:val="center"/>
                    <w:rPr>
                      <w:rFonts w:ascii="Times New Roman" w:eastAsia="Times New Roman" w:hAnsi="Times New Roman" w:cs="Times New Roman"/>
                    </w:rPr>
                  </w:pPr>
                  <w:r w:rsidRPr="001D05A8">
                    <w:rPr>
                      <w:rFonts w:ascii="Times New Roman" w:hAnsi="Times New Roman" w:cs="Times New Roman"/>
                    </w:rPr>
                    <w:t>Alternatyva Nr. 1</w:t>
                  </w:r>
                </w:p>
              </w:tc>
              <w:tc>
                <w:tcPr>
                  <w:tcW w:w="2670" w:type="pct"/>
                  <w:shd w:val="clear" w:color="auto" w:fill="auto"/>
                  <w:hideMark/>
                </w:tcPr>
                <w:p w14:paraId="452B8AEE" w14:textId="77777777" w:rsidR="006748C3" w:rsidRPr="001D05A8" w:rsidRDefault="006748C3" w:rsidP="006748C3">
                  <w:pPr>
                    <w:rPr>
                      <w:rFonts w:ascii="Times New Roman" w:hAnsi="Times New Roman" w:cs="Times New Roman"/>
                    </w:rPr>
                  </w:pPr>
                  <w:r w:rsidRPr="001D05A8">
                    <w:rPr>
                      <w:rFonts w:ascii="Times New Roman" w:hAnsi="Times New Roman" w:cs="Times New Roman"/>
                    </w:rPr>
                    <w:t xml:space="preserve">valstybės socialinės globos </w:t>
                  </w:r>
                  <w:r w:rsidRPr="001D05A8">
                    <w:rPr>
                      <w:rFonts w:ascii="Times New Roman" w:hAnsi="Times New Roman" w:cs="Times New Roman"/>
                      <w:b/>
                      <w:bCs/>
                    </w:rPr>
                    <w:t>namų modernizavimas</w:t>
                  </w:r>
                </w:p>
              </w:tc>
              <w:tc>
                <w:tcPr>
                  <w:tcW w:w="1414" w:type="pct"/>
                  <w:shd w:val="clear" w:color="auto" w:fill="auto"/>
                  <w:noWrap/>
                </w:tcPr>
                <w:p w14:paraId="327DB12A" w14:textId="77777777" w:rsidR="006748C3" w:rsidRPr="001D05A8" w:rsidRDefault="006748C3" w:rsidP="006748C3">
                  <w:pPr>
                    <w:jc w:val="center"/>
                    <w:rPr>
                      <w:rFonts w:ascii="Times New Roman" w:eastAsia="Times New Roman" w:hAnsi="Times New Roman" w:cs="Times New Roman"/>
                      <w:b/>
                      <w:bCs/>
                    </w:rPr>
                  </w:pPr>
                  <w:r w:rsidRPr="001D05A8">
                    <w:rPr>
                      <w:rFonts w:ascii="Times New Roman" w:hAnsi="Times New Roman" w:cs="Times New Roman"/>
                      <w:b/>
                      <w:bCs/>
                    </w:rPr>
                    <w:t>3,29</w:t>
                  </w:r>
                </w:p>
              </w:tc>
            </w:tr>
            <w:tr w:rsidR="006748C3" w:rsidRPr="001D05A8" w14:paraId="79115BB8" w14:textId="77777777" w:rsidTr="006748C3">
              <w:tc>
                <w:tcPr>
                  <w:tcW w:w="916" w:type="pct"/>
                  <w:shd w:val="clear" w:color="auto" w:fill="auto"/>
                  <w:noWrap/>
                </w:tcPr>
                <w:p w14:paraId="4897F27A" w14:textId="77777777" w:rsidR="006748C3" w:rsidRPr="001D05A8" w:rsidRDefault="006748C3" w:rsidP="006748C3">
                  <w:pPr>
                    <w:jc w:val="center"/>
                    <w:rPr>
                      <w:rFonts w:ascii="Times New Roman" w:hAnsi="Times New Roman" w:cs="Times New Roman"/>
                    </w:rPr>
                  </w:pPr>
                  <w:r w:rsidRPr="001D05A8">
                    <w:rPr>
                      <w:rFonts w:ascii="Times New Roman" w:hAnsi="Times New Roman" w:cs="Times New Roman"/>
                    </w:rPr>
                    <w:t>Alternatyva Nr. 2</w:t>
                  </w:r>
                </w:p>
              </w:tc>
              <w:tc>
                <w:tcPr>
                  <w:tcW w:w="2670" w:type="pct"/>
                  <w:shd w:val="clear" w:color="auto" w:fill="auto"/>
                </w:tcPr>
                <w:p w14:paraId="083E1082" w14:textId="77777777" w:rsidR="006748C3" w:rsidRPr="001D05A8" w:rsidRDefault="006748C3" w:rsidP="006748C3">
                  <w:pPr>
                    <w:rPr>
                      <w:rFonts w:ascii="Times New Roman" w:hAnsi="Times New Roman" w:cs="Times New Roman"/>
                    </w:rPr>
                  </w:pPr>
                  <w:r w:rsidRPr="001D05A8">
                    <w:rPr>
                      <w:rFonts w:ascii="Times New Roman" w:hAnsi="Times New Roman" w:cs="Times New Roman"/>
                      <w:b/>
                      <w:bCs/>
                    </w:rPr>
                    <w:t>nauja</w:t>
                  </w:r>
                  <w:r w:rsidRPr="001D05A8">
                    <w:rPr>
                      <w:rFonts w:ascii="Times New Roman" w:hAnsi="Times New Roman" w:cs="Times New Roman"/>
                    </w:rPr>
                    <w:t xml:space="preserve"> valstybės socialinės globos </w:t>
                  </w:r>
                  <w:r w:rsidRPr="001D05A8">
                    <w:rPr>
                      <w:rFonts w:ascii="Times New Roman" w:hAnsi="Times New Roman" w:cs="Times New Roman"/>
                      <w:b/>
                      <w:bCs/>
                    </w:rPr>
                    <w:t>namų statyba</w:t>
                  </w:r>
                </w:p>
              </w:tc>
              <w:tc>
                <w:tcPr>
                  <w:tcW w:w="1414" w:type="pct"/>
                  <w:shd w:val="clear" w:color="auto" w:fill="auto"/>
                  <w:noWrap/>
                </w:tcPr>
                <w:p w14:paraId="500C0B11" w14:textId="77777777" w:rsidR="006748C3" w:rsidRPr="001D05A8" w:rsidRDefault="006748C3" w:rsidP="006748C3">
                  <w:pPr>
                    <w:jc w:val="center"/>
                    <w:rPr>
                      <w:rFonts w:ascii="Times New Roman" w:hAnsi="Times New Roman" w:cs="Times New Roman"/>
                      <w:b/>
                      <w:bCs/>
                    </w:rPr>
                  </w:pPr>
                  <w:r w:rsidRPr="001D05A8">
                    <w:rPr>
                      <w:rFonts w:ascii="Times New Roman" w:hAnsi="Times New Roman" w:cs="Times New Roman"/>
                      <w:b/>
                      <w:bCs/>
                    </w:rPr>
                    <w:t>1,61</w:t>
                  </w:r>
                </w:p>
              </w:tc>
            </w:tr>
          </w:tbl>
          <w:p w14:paraId="751DCE71" w14:textId="23C04CF6" w:rsidR="006748C3" w:rsidRDefault="006748C3" w:rsidP="006748C3">
            <w:pPr>
              <w:jc w:val="both"/>
              <w:rPr>
                <w:sz w:val="22"/>
                <w:szCs w:val="22"/>
              </w:rPr>
            </w:pPr>
          </w:p>
          <w:p w14:paraId="2355512F" w14:textId="1B184D6C" w:rsidR="000E3F90" w:rsidRDefault="000E3F90" w:rsidP="006748C3">
            <w:pPr>
              <w:jc w:val="both"/>
              <w:rPr>
                <w:sz w:val="22"/>
                <w:szCs w:val="22"/>
              </w:rPr>
            </w:pPr>
          </w:p>
          <w:p w14:paraId="0E5ED771" w14:textId="77777777" w:rsidR="000E3F90" w:rsidRPr="001D05A8" w:rsidRDefault="000E3F90" w:rsidP="006748C3">
            <w:pPr>
              <w:jc w:val="both"/>
              <w:rPr>
                <w:sz w:val="22"/>
                <w:szCs w:val="22"/>
              </w:rPr>
            </w:pPr>
          </w:p>
          <w:p w14:paraId="2B312D57" w14:textId="677BCE29" w:rsidR="006748C3" w:rsidRDefault="006748C3" w:rsidP="006748C3">
            <w:pPr>
              <w:jc w:val="both"/>
              <w:rPr>
                <w:sz w:val="22"/>
                <w:szCs w:val="22"/>
              </w:rPr>
            </w:pPr>
            <w:r w:rsidRPr="001D05A8">
              <w:rPr>
                <w:sz w:val="22"/>
                <w:szCs w:val="22"/>
              </w:rPr>
              <w:lastRenderedPageBreak/>
              <w:t>Lentelė 4. Alternatyvos 1 poveikis viešiesiems finansams</w:t>
            </w:r>
          </w:p>
          <w:p w14:paraId="13A0D902" w14:textId="77777777" w:rsidR="000E3F90" w:rsidRPr="001D05A8" w:rsidRDefault="000E3F90" w:rsidP="006748C3">
            <w:pPr>
              <w:jc w:val="both"/>
              <w:rPr>
                <w:sz w:val="22"/>
                <w:szCs w:val="22"/>
              </w:rPr>
            </w:pPr>
          </w:p>
          <w:tbl>
            <w:tblPr>
              <w:tblStyle w:val="Lentelstinklelis"/>
              <w:tblW w:w="9524" w:type="dxa"/>
              <w:tblInd w:w="0" w:type="dxa"/>
              <w:tblCellMar>
                <w:left w:w="28" w:type="dxa"/>
                <w:right w:w="28" w:type="dxa"/>
              </w:tblCellMar>
              <w:tblLook w:val="04A0" w:firstRow="1" w:lastRow="0" w:firstColumn="1" w:lastColumn="0" w:noHBand="0" w:noVBand="1"/>
            </w:tblPr>
            <w:tblGrid>
              <w:gridCol w:w="656"/>
              <w:gridCol w:w="5640"/>
              <w:gridCol w:w="1537"/>
              <w:gridCol w:w="1691"/>
            </w:tblGrid>
            <w:tr w:rsidR="006748C3" w:rsidRPr="001D05A8" w14:paraId="453E4079" w14:textId="77777777" w:rsidTr="00067A3F">
              <w:trPr>
                <w:tblHeader/>
              </w:trPr>
              <w:tc>
                <w:tcPr>
                  <w:tcW w:w="325" w:type="pct"/>
                  <w:shd w:val="clear" w:color="auto" w:fill="EEECE1" w:themeFill="background2"/>
                  <w:noWrap/>
                  <w:hideMark/>
                </w:tcPr>
                <w:p w14:paraId="18A53853" w14:textId="77777777" w:rsidR="006748C3" w:rsidRPr="001D05A8" w:rsidRDefault="006748C3" w:rsidP="006748C3">
                  <w:pPr>
                    <w:jc w:val="center"/>
                    <w:rPr>
                      <w:rFonts w:ascii="Times New Roman" w:eastAsia="Times New Roman" w:hAnsi="Times New Roman" w:cs="Times New Roman"/>
                      <w:b/>
                      <w:bCs/>
                    </w:rPr>
                  </w:pPr>
                  <w:r w:rsidRPr="001D05A8">
                    <w:rPr>
                      <w:rFonts w:ascii="Times New Roman" w:hAnsi="Times New Roman" w:cs="Times New Roman"/>
                      <w:b/>
                      <w:bCs/>
                    </w:rPr>
                    <w:t>Kodas</w:t>
                  </w:r>
                </w:p>
              </w:tc>
              <w:tc>
                <w:tcPr>
                  <w:tcW w:w="2968" w:type="pct"/>
                  <w:shd w:val="clear" w:color="auto" w:fill="EEECE1" w:themeFill="background2"/>
                  <w:noWrap/>
                  <w:hideMark/>
                </w:tcPr>
                <w:p w14:paraId="156E9A34" w14:textId="77777777" w:rsidR="006748C3" w:rsidRPr="001D05A8" w:rsidRDefault="006748C3" w:rsidP="006748C3">
                  <w:pPr>
                    <w:jc w:val="center"/>
                    <w:rPr>
                      <w:rFonts w:ascii="Times New Roman" w:eastAsia="Times New Roman" w:hAnsi="Times New Roman" w:cs="Times New Roman"/>
                      <w:b/>
                      <w:bCs/>
                    </w:rPr>
                  </w:pPr>
                  <w:r w:rsidRPr="001D05A8">
                    <w:rPr>
                      <w:rFonts w:ascii="Times New Roman" w:hAnsi="Times New Roman" w:cs="Times New Roman"/>
                      <w:b/>
                      <w:bCs/>
                    </w:rPr>
                    <w:t>Viešųjų finansų srautas</w:t>
                  </w:r>
                </w:p>
              </w:tc>
              <w:tc>
                <w:tcPr>
                  <w:tcW w:w="813" w:type="pct"/>
                  <w:shd w:val="clear" w:color="auto" w:fill="EEECE1" w:themeFill="background2"/>
                  <w:hideMark/>
                </w:tcPr>
                <w:p w14:paraId="4F1E6C65" w14:textId="77777777" w:rsidR="006748C3" w:rsidRPr="001D05A8" w:rsidRDefault="006748C3" w:rsidP="006748C3">
                  <w:pPr>
                    <w:jc w:val="center"/>
                    <w:rPr>
                      <w:rFonts w:ascii="Times New Roman" w:eastAsia="Times New Roman" w:hAnsi="Times New Roman" w:cs="Times New Roman"/>
                      <w:b/>
                      <w:bCs/>
                    </w:rPr>
                  </w:pPr>
                  <w:r w:rsidRPr="001D05A8">
                    <w:rPr>
                      <w:rFonts w:ascii="Times New Roman" w:hAnsi="Times New Roman" w:cs="Times New Roman"/>
                      <w:b/>
                      <w:bCs/>
                    </w:rPr>
                    <w:t>Grynoji dabartinė vertė</w:t>
                  </w:r>
                </w:p>
              </w:tc>
              <w:tc>
                <w:tcPr>
                  <w:tcW w:w="894" w:type="pct"/>
                  <w:shd w:val="clear" w:color="auto" w:fill="EEECE1" w:themeFill="background2"/>
                  <w:noWrap/>
                  <w:hideMark/>
                </w:tcPr>
                <w:p w14:paraId="5D313EAC" w14:textId="77777777" w:rsidR="006748C3" w:rsidRPr="001D05A8" w:rsidRDefault="006748C3" w:rsidP="006748C3">
                  <w:pPr>
                    <w:jc w:val="center"/>
                    <w:rPr>
                      <w:rFonts w:ascii="Times New Roman" w:eastAsia="Times New Roman" w:hAnsi="Times New Roman" w:cs="Times New Roman"/>
                      <w:b/>
                      <w:bCs/>
                    </w:rPr>
                  </w:pPr>
                  <w:r w:rsidRPr="001D05A8">
                    <w:rPr>
                      <w:rFonts w:ascii="Times New Roman" w:hAnsi="Times New Roman" w:cs="Times New Roman"/>
                      <w:b/>
                      <w:bCs/>
                    </w:rPr>
                    <w:t>Reali vertė</w:t>
                  </w:r>
                </w:p>
              </w:tc>
            </w:tr>
            <w:tr w:rsidR="006748C3" w:rsidRPr="001D05A8" w14:paraId="7105815C" w14:textId="77777777" w:rsidTr="00026A11">
              <w:tc>
                <w:tcPr>
                  <w:tcW w:w="325" w:type="pct"/>
                  <w:shd w:val="clear" w:color="auto" w:fill="auto"/>
                  <w:noWrap/>
                  <w:hideMark/>
                </w:tcPr>
                <w:p w14:paraId="003C42B2" w14:textId="77777777" w:rsidR="006748C3" w:rsidRPr="001D05A8" w:rsidRDefault="006748C3" w:rsidP="006748C3">
                  <w:pPr>
                    <w:jc w:val="center"/>
                    <w:rPr>
                      <w:rFonts w:ascii="Times New Roman" w:eastAsia="Times New Roman" w:hAnsi="Times New Roman" w:cs="Times New Roman"/>
                    </w:rPr>
                  </w:pPr>
                  <w:r w:rsidRPr="001D05A8">
                    <w:rPr>
                      <w:rFonts w:ascii="Times New Roman" w:hAnsi="Times New Roman" w:cs="Times New Roman"/>
                    </w:rPr>
                    <w:t>S.</w:t>
                  </w:r>
                </w:p>
              </w:tc>
              <w:tc>
                <w:tcPr>
                  <w:tcW w:w="2968" w:type="pct"/>
                  <w:shd w:val="clear" w:color="auto" w:fill="auto"/>
                  <w:hideMark/>
                </w:tcPr>
                <w:p w14:paraId="22D746E3" w14:textId="77777777" w:rsidR="006748C3" w:rsidRPr="001D05A8" w:rsidRDefault="006748C3" w:rsidP="006748C3">
                  <w:pPr>
                    <w:jc w:val="center"/>
                    <w:rPr>
                      <w:rFonts w:ascii="Times New Roman" w:eastAsia="Times New Roman" w:hAnsi="Times New Roman" w:cs="Times New Roman"/>
                    </w:rPr>
                  </w:pPr>
                  <w:r w:rsidRPr="001D05A8">
                    <w:rPr>
                      <w:rFonts w:ascii="Times New Roman" w:hAnsi="Times New Roman" w:cs="Times New Roman"/>
                    </w:rPr>
                    <w:t>Investicijų, reinvesticijų ir grynasis veiklos srautas (be PVM)</w:t>
                  </w:r>
                </w:p>
              </w:tc>
              <w:tc>
                <w:tcPr>
                  <w:tcW w:w="813" w:type="pct"/>
                  <w:tcBorders>
                    <w:top w:val="single" w:sz="4" w:space="0" w:color="auto"/>
                    <w:left w:val="single" w:sz="4" w:space="0" w:color="auto"/>
                    <w:bottom w:val="single" w:sz="4" w:space="0" w:color="auto"/>
                    <w:right w:val="single" w:sz="4" w:space="0" w:color="auto"/>
                  </w:tcBorders>
                  <w:shd w:val="clear" w:color="auto" w:fill="auto"/>
                  <w:vAlign w:val="bottom"/>
                </w:tcPr>
                <w:p w14:paraId="37C729FD" w14:textId="77777777" w:rsidR="006748C3" w:rsidRPr="001D05A8" w:rsidRDefault="006748C3" w:rsidP="006748C3">
                  <w:pPr>
                    <w:jc w:val="center"/>
                    <w:rPr>
                      <w:rFonts w:ascii="Times New Roman" w:hAnsi="Times New Roman" w:cs="Times New Roman"/>
                    </w:rPr>
                  </w:pPr>
                  <w:r w:rsidRPr="001D05A8">
                    <w:rPr>
                      <w:rFonts w:ascii="Times New Roman" w:hAnsi="Times New Roman" w:cs="Times New Roman"/>
                      <w:color w:val="000000"/>
                      <w:lang w:eastAsia="lt-LT"/>
                    </w:rPr>
                    <w:t>33.876.797</w:t>
                  </w:r>
                </w:p>
              </w:tc>
              <w:tc>
                <w:tcPr>
                  <w:tcW w:w="894" w:type="pct"/>
                  <w:tcBorders>
                    <w:top w:val="single" w:sz="4" w:space="0" w:color="auto"/>
                    <w:left w:val="nil"/>
                    <w:bottom w:val="single" w:sz="4" w:space="0" w:color="auto"/>
                    <w:right w:val="single" w:sz="4" w:space="0" w:color="auto"/>
                  </w:tcBorders>
                  <w:shd w:val="clear" w:color="auto" w:fill="auto"/>
                  <w:vAlign w:val="bottom"/>
                </w:tcPr>
                <w:p w14:paraId="6EA2A79F" w14:textId="77777777" w:rsidR="006748C3" w:rsidRPr="001D05A8" w:rsidRDefault="006748C3" w:rsidP="006748C3">
                  <w:pPr>
                    <w:jc w:val="center"/>
                    <w:rPr>
                      <w:rFonts w:ascii="Times New Roman" w:hAnsi="Times New Roman" w:cs="Times New Roman"/>
                      <w:color w:val="000000" w:themeColor="text1"/>
                    </w:rPr>
                  </w:pPr>
                  <w:r w:rsidRPr="001D05A8">
                    <w:rPr>
                      <w:rFonts w:ascii="Times New Roman" w:hAnsi="Times New Roman" w:cs="Times New Roman"/>
                      <w:color w:val="000000"/>
                      <w:lang w:eastAsia="lt-LT"/>
                    </w:rPr>
                    <w:t>37.157.666</w:t>
                  </w:r>
                </w:p>
              </w:tc>
            </w:tr>
            <w:tr w:rsidR="006748C3" w:rsidRPr="001D05A8" w14:paraId="1090B204" w14:textId="77777777" w:rsidTr="00026A11">
              <w:tc>
                <w:tcPr>
                  <w:tcW w:w="325" w:type="pct"/>
                  <w:shd w:val="clear" w:color="auto" w:fill="auto"/>
                  <w:noWrap/>
                  <w:hideMark/>
                </w:tcPr>
                <w:p w14:paraId="7B409756" w14:textId="77777777" w:rsidR="006748C3" w:rsidRPr="001D05A8" w:rsidRDefault="006748C3" w:rsidP="006748C3">
                  <w:pPr>
                    <w:jc w:val="center"/>
                    <w:rPr>
                      <w:rFonts w:ascii="Times New Roman" w:eastAsia="Times New Roman" w:hAnsi="Times New Roman" w:cs="Times New Roman"/>
                    </w:rPr>
                  </w:pPr>
                  <w:r w:rsidRPr="001D05A8">
                    <w:rPr>
                      <w:rFonts w:ascii="Times New Roman" w:hAnsi="Times New Roman" w:cs="Times New Roman"/>
                    </w:rPr>
                    <w:t>T.</w:t>
                  </w:r>
                </w:p>
              </w:tc>
              <w:tc>
                <w:tcPr>
                  <w:tcW w:w="2968" w:type="pct"/>
                  <w:shd w:val="clear" w:color="auto" w:fill="auto"/>
                  <w:noWrap/>
                  <w:hideMark/>
                </w:tcPr>
                <w:p w14:paraId="77FAB440" w14:textId="77777777" w:rsidR="006748C3" w:rsidRPr="001D05A8" w:rsidRDefault="006748C3" w:rsidP="006748C3">
                  <w:pPr>
                    <w:jc w:val="center"/>
                    <w:rPr>
                      <w:rFonts w:ascii="Times New Roman" w:eastAsia="Times New Roman" w:hAnsi="Times New Roman" w:cs="Times New Roman"/>
                    </w:rPr>
                  </w:pPr>
                  <w:r w:rsidRPr="001D05A8">
                    <w:rPr>
                      <w:rFonts w:ascii="Times New Roman" w:hAnsi="Times New Roman" w:cs="Times New Roman"/>
                    </w:rPr>
                    <w:t>Privataus ir NVO sektoriaus grynasis veiklos srautas (be PVM)</w:t>
                  </w:r>
                </w:p>
              </w:tc>
              <w:tc>
                <w:tcPr>
                  <w:tcW w:w="813" w:type="pct"/>
                  <w:shd w:val="clear" w:color="auto" w:fill="auto"/>
                </w:tcPr>
                <w:p w14:paraId="67E1FEBF" w14:textId="77777777" w:rsidR="006748C3" w:rsidRPr="001D05A8" w:rsidRDefault="006748C3" w:rsidP="006748C3">
                  <w:pPr>
                    <w:jc w:val="center"/>
                    <w:rPr>
                      <w:rFonts w:ascii="Times New Roman" w:hAnsi="Times New Roman" w:cs="Times New Roman"/>
                    </w:rPr>
                  </w:pPr>
                  <w:r w:rsidRPr="001D05A8">
                    <w:rPr>
                      <w:rFonts w:ascii="Times New Roman" w:hAnsi="Times New Roman" w:cs="Times New Roman"/>
                    </w:rPr>
                    <w:t>0</w:t>
                  </w:r>
                </w:p>
              </w:tc>
              <w:tc>
                <w:tcPr>
                  <w:tcW w:w="894" w:type="pct"/>
                  <w:shd w:val="clear" w:color="auto" w:fill="auto"/>
                </w:tcPr>
                <w:p w14:paraId="63F6DD32" w14:textId="77777777" w:rsidR="006748C3" w:rsidRPr="001D05A8" w:rsidRDefault="006748C3" w:rsidP="006748C3">
                  <w:pPr>
                    <w:jc w:val="center"/>
                    <w:rPr>
                      <w:rFonts w:ascii="Times New Roman" w:hAnsi="Times New Roman" w:cs="Times New Roman"/>
                    </w:rPr>
                  </w:pPr>
                  <w:r w:rsidRPr="001D05A8">
                    <w:rPr>
                      <w:rFonts w:ascii="Times New Roman" w:hAnsi="Times New Roman" w:cs="Times New Roman"/>
                    </w:rPr>
                    <w:t>0</w:t>
                  </w:r>
                </w:p>
              </w:tc>
            </w:tr>
            <w:tr w:rsidR="006748C3" w:rsidRPr="001D05A8" w14:paraId="4BD912B1" w14:textId="77777777" w:rsidTr="00026A11">
              <w:tc>
                <w:tcPr>
                  <w:tcW w:w="325" w:type="pct"/>
                  <w:shd w:val="clear" w:color="auto" w:fill="auto"/>
                  <w:noWrap/>
                  <w:hideMark/>
                </w:tcPr>
                <w:p w14:paraId="1A09F7AE" w14:textId="77777777" w:rsidR="006748C3" w:rsidRPr="001D05A8" w:rsidRDefault="006748C3" w:rsidP="006748C3">
                  <w:pPr>
                    <w:jc w:val="center"/>
                    <w:rPr>
                      <w:rFonts w:ascii="Times New Roman" w:eastAsia="Times New Roman" w:hAnsi="Times New Roman" w:cs="Times New Roman"/>
                    </w:rPr>
                  </w:pPr>
                  <w:r w:rsidRPr="001D05A8">
                    <w:rPr>
                      <w:rFonts w:ascii="Times New Roman" w:hAnsi="Times New Roman" w:cs="Times New Roman"/>
                    </w:rPr>
                    <w:t>U.</w:t>
                  </w:r>
                </w:p>
              </w:tc>
              <w:tc>
                <w:tcPr>
                  <w:tcW w:w="2968" w:type="pct"/>
                  <w:shd w:val="clear" w:color="auto" w:fill="auto"/>
                  <w:noWrap/>
                  <w:hideMark/>
                </w:tcPr>
                <w:p w14:paraId="0B6F98D8" w14:textId="77777777" w:rsidR="006748C3" w:rsidRPr="001D05A8" w:rsidRDefault="006748C3" w:rsidP="006748C3">
                  <w:pPr>
                    <w:jc w:val="center"/>
                    <w:rPr>
                      <w:rFonts w:ascii="Times New Roman" w:eastAsia="Times New Roman" w:hAnsi="Times New Roman" w:cs="Times New Roman"/>
                    </w:rPr>
                  </w:pPr>
                  <w:r w:rsidRPr="001D05A8">
                    <w:rPr>
                      <w:rFonts w:ascii="Times New Roman" w:hAnsi="Times New Roman" w:cs="Times New Roman"/>
                    </w:rPr>
                    <w:t>PVM dalis, sumokėta privataus ir NVO sektoriaus</w:t>
                  </w:r>
                </w:p>
              </w:tc>
              <w:tc>
                <w:tcPr>
                  <w:tcW w:w="813" w:type="pct"/>
                  <w:shd w:val="clear" w:color="auto" w:fill="auto"/>
                </w:tcPr>
                <w:p w14:paraId="534746A6" w14:textId="77777777" w:rsidR="006748C3" w:rsidRPr="001D05A8" w:rsidRDefault="006748C3" w:rsidP="006748C3">
                  <w:pPr>
                    <w:jc w:val="center"/>
                    <w:rPr>
                      <w:rFonts w:ascii="Times New Roman" w:hAnsi="Times New Roman" w:cs="Times New Roman"/>
                    </w:rPr>
                  </w:pPr>
                  <w:r w:rsidRPr="001D05A8">
                    <w:rPr>
                      <w:rFonts w:ascii="Times New Roman" w:hAnsi="Times New Roman" w:cs="Times New Roman"/>
                    </w:rPr>
                    <w:t>0</w:t>
                  </w:r>
                </w:p>
              </w:tc>
              <w:tc>
                <w:tcPr>
                  <w:tcW w:w="894" w:type="pct"/>
                  <w:shd w:val="clear" w:color="auto" w:fill="auto"/>
                </w:tcPr>
                <w:p w14:paraId="706E2046" w14:textId="77777777" w:rsidR="006748C3" w:rsidRPr="001D05A8" w:rsidRDefault="006748C3" w:rsidP="006748C3">
                  <w:pPr>
                    <w:jc w:val="center"/>
                    <w:rPr>
                      <w:rFonts w:ascii="Times New Roman" w:hAnsi="Times New Roman" w:cs="Times New Roman"/>
                    </w:rPr>
                  </w:pPr>
                  <w:r w:rsidRPr="001D05A8">
                    <w:rPr>
                      <w:rFonts w:ascii="Times New Roman" w:hAnsi="Times New Roman" w:cs="Times New Roman"/>
                    </w:rPr>
                    <w:t>0</w:t>
                  </w:r>
                </w:p>
              </w:tc>
            </w:tr>
            <w:tr w:rsidR="006748C3" w:rsidRPr="001D05A8" w14:paraId="098A0B04" w14:textId="77777777" w:rsidTr="00026A11">
              <w:tc>
                <w:tcPr>
                  <w:tcW w:w="325" w:type="pct"/>
                  <w:shd w:val="clear" w:color="auto" w:fill="auto"/>
                  <w:noWrap/>
                  <w:hideMark/>
                </w:tcPr>
                <w:p w14:paraId="61AEF47A" w14:textId="77777777" w:rsidR="006748C3" w:rsidRPr="001D05A8" w:rsidRDefault="006748C3" w:rsidP="006748C3">
                  <w:pPr>
                    <w:jc w:val="center"/>
                    <w:rPr>
                      <w:rFonts w:ascii="Times New Roman" w:eastAsia="Times New Roman" w:hAnsi="Times New Roman" w:cs="Times New Roman"/>
                    </w:rPr>
                  </w:pPr>
                </w:p>
              </w:tc>
              <w:tc>
                <w:tcPr>
                  <w:tcW w:w="2968" w:type="pct"/>
                  <w:shd w:val="clear" w:color="auto" w:fill="auto"/>
                  <w:noWrap/>
                  <w:hideMark/>
                </w:tcPr>
                <w:p w14:paraId="0FE5E6E8" w14:textId="77777777" w:rsidR="006748C3" w:rsidRPr="001D05A8" w:rsidRDefault="006748C3" w:rsidP="006748C3">
                  <w:pPr>
                    <w:jc w:val="center"/>
                    <w:rPr>
                      <w:rFonts w:ascii="Times New Roman" w:eastAsia="Times New Roman" w:hAnsi="Times New Roman" w:cs="Times New Roman"/>
                      <w:b/>
                      <w:bCs/>
                    </w:rPr>
                  </w:pPr>
                  <w:r w:rsidRPr="001D05A8">
                    <w:rPr>
                      <w:rFonts w:ascii="Times New Roman" w:hAnsi="Times New Roman" w:cs="Times New Roman"/>
                      <w:b/>
                      <w:bCs/>
                    </w:rPr>
                    <w:t>POVEIKIS VIEŠIESIEMS FINANSAMS</w:t>
                  </w:r>
                </w:p>
              </w:tc>
              <w:tc>
                <w:tcPr>
                  <w:tcW w:w="813" w:type="pct"/>
                  <w:tcBorders>
                    <w:top w:val="single" w:sz="4" w:space="0" w:color="auto"/>
                    <w:left w:val="single" w:sz="4" w:space="0" w:color="auto"/>
                    <w:bottom w:val="single" w:sz="4" w:space="0" w:color="auto"/>
                    <w:right w:val="single" w:sz="4" w:space="0" w:color="auto"/>
                  </w:tcBorders>
                  <w:shd w:val="clear" w:color="auto" w:fill="auto"/>
                  <w:vAlign w:val="bottom"/>
                </w:tcPr>
                <w:p w14:paraId="01D80C0E" w14:textId="77777777" w:rsidR="006748C3" w:rsidRPr="001D05A8" w:rsidRDefault="006748C3" w:rsidP="006748C3">
                  <w:pPr>
                    <w:jc w:val="center"/>
                    <w:rPr>
                      <w:rFonts w:ascii="Times New Roman" w:hAnsi="Times New Roman" w:cs="Times New Roman"/>
                      <w:b/>
                    </w:rPr>
                  </w:pPr>
                  <w:r w:rsidRPr="001D05A8">
                    <w:rPr>
                      <w:rFonts w:ascii="Times New Roman" w:hAnsi="Times New Roman" w:cs="Times New Roman"/>
                      <w:color w:val="000000"/>
                      <w:lang w:eastAsia="lt-LT"/>
                    </w:rPr>
                    <w:t>-33.876.797</w:t>
                  </w:r>
                </w:p>
              </w:tc>
              <w:tc>
                <w:tcPr>
                  <w:tcW w:w="894" w:type="pct"/>
                  <w:tcBorders>
                    <w:top w:val="single" w:sz="4" w:space="0" w:color="auto"/>
                    <w:left w:val="nil"/>
                    <w:bottom w:val="single" w:sz="4" w:space="0" w:color="auto"/>
                    <w:right w:val="single" w:sz="4" w:space="0" w:color="auto"/>
                  </w:tcBorders>
                  <w:shd w:val="clear" w:color="auto" w:fill="auto"/>
                  <w:vAlign w:val="bottom"/>
                </w:tcPr>
                <w:p w14:paraId="58532A49" w14:textId="77777777" w:rsidR="006748C3" w:rsidRPr="001D05A8" w:rsidRDefault="006748C3" w:rsidP="006748C3">
                  <w:pPr>
                    <w:jc w:val="center"/>
                    <w:rPr>
                      <w:rFonts w:ascii="Times New Roman" w:hAnsi="Times New Roman" w:cs="Times New Roman"/>
                      <w:b/>
                      <w:color w:val="000000" w:themeColor="text1"/>
                    </w:rPr>
                  </w:pPr>
                  <w:r w:rsidRPr="001D05A8">
                    <w:rPr>
                      <w:rFonts w:ascii="Times New Roman" w:hAnsi="Times New Roman" w:cs="Times New Roman"/>
                      <w:color w:val="000000"/>
                      <w:lang w:eastAsia="lt-LT"/>
                    </w:rPr>
                    <w:t>-37.157.666</w:t>
                  </w:r>
                </w:p>
              </w:tc>
            </w:tr>
          </w:tbl>
          <w:p w14:paraId="0FD5506E" w14:textId="77777777" w:rsidR="006748C3" w:rsidRPr="001D05A8" w:rsidRDefault="006748C3" w:rsidP="006748C3">
            <w:pPr>
              <w:jc w:val="both"/>
              <w:rPr>
                <w:sz w:val="22"/>
                <w:szCs w:val="22"/>
              </w:rPr>
            </w:pPr>
          </w:p>
          <w:p w14:paraId="3242693F" w14:textId="77777777" w:rsidR="00766489" w:rsidRPr="001D05A8" w:rsidRDefault="00766489" w:rsidP="00766489">
            <w:pPr>
              <w:jc w:val="both"/>
              <w:rPr>
                <w:sz w:val="22"/>
                <w:szCs w:val="22"/>
              </w:rPr>
            </w:pPr>
            <w:r w:rsidRPr="001D05A8">
              <w:rPr>
                <w:sz w:val="22"/>
                <w:szCs w:val="22"/>
              </w:rPr>
              <w:t>Lentelė 5. Alternatyvos 2 poveikis viešiesiems finansams</w:t>
            </w:r>
          </w:p>
          <w:tbl>
            <w:tblPr>
              <w:tblStyle w:val="Lentelstinklelis"/>
              <w:tblpPr w:leftFromText="180" w:rightFromText="180" w:vertAnchor="text" w:horzAnchor="margin" w:tblpY="334"/>
              <w:tblOverlap w:val="never"/>
              <w:tblW w:w="9493" w:type="dxa"/>
              <w:tblInd w:w="0" w:type="dxa"/>
              <w:tblCellMar>
                <w:left w:w="28" w:type="dxa"/>
                <w:right w:w="28" w:type="dxa"/>
              </w:tblCellMar>
              <w:tblLook w:val="04A0" w:firstRow="1" w:lastRow="0" w:firstColumn="1" w:lastColumn="0" w:noHBand="0" w:noVBand="1"/>
            </w:tblPr>
            <w:tblGrid>
              <w:gridCol w:w="718"/>
              <w:gridCol w:w="5654"/>
              <w:gridCol w:w="1703"/>
              <w:gridCol w:w="1418"/>
            </w:tblGrid>
            <w:tr w:rsidR="006748C3" w:rsidRPr="001D05A8" w14:paraId="258A6151" w14:textId="77777777" w:rsidTr="00067A3F">
              <w:trPr>
                <w:tblHeader/>
              </w:trPr>
              <w:tc>
                <w:tcPr>
                  <w:tcW w:w="378" w:type="pct"/>
                  <w:shd w:val="clear" w:color="auto" w:fill="EEECE1" w:themeFill="background2"/>
                  <w:noWrap/>
                  <w:hideMark/>
                </w:tcPr>
                <w:p w14:paraId="4BB6736A" w14:textId="77777777" w:rsidR="006748C3" w:rsidRPr="001D05A8" w:rsidRDefault="006748C3" w:rsidP="006748C3">
                  <w:pPr>
                    <w:jc w:val="center"/>
                    <w:rPr>
                      <w:rFonts w:ascii="Times New Roman" w:eastAsia="Times New Roman" w:hAnsi="Times New Roman" w:cs="Times New Roman"/>
                      <w:b/>
                      <w:bCs/>
                    </w:rPr>
                  </w:pPr>
                  <w:r w:rsidRPr="001D05A8">
                    <w:rPr>
                      <w:rFonts w:ascii="Times New Roman" w:hAnsi="Times New Roman" w:cs="Times New Roman"/>
                      <w:b/>
                      <w:bCs/>
                    </w:rPr>
                    <w:t>Kodas</w:t>
                  </w:r>
                </w:p>
              </w:tc>
              <w:tc>
                <w:tcPr>
                  <w:tcW w:w="2978" w:type="pct"/>
                  <w:shd w:val="clear" w:color="auto" w:fill="EEECE1" w:themeFill="background2"/>
                  <w:noWrap/>
                  <w:hideMark/>
                </w:tcPr>
                <w:p w14:paraId="31768825" w14:textId="77777777" w:rsidR="006748C3" w:rsidRPr="001D05A8" w:rsidRDefault="006748C3" w:rsidP="006748C3">
                  <w:pPr>
                    <w:jc w:val="center"/>
                    <w:rPr>
                      <w:rFonts w:ascii="Times New Roman" w:eastAsia="Times New Roman" w:hAnsi="Times New Roman" w:cs="Times New Roman"/>
                      <w:b/>
                      <w:bCs/>
                    </w:rPr>
                  </w:pPr>
                  <w:r w:rsidRPr="001D05A8">
                    <w:rPr>
                      <w:rFonts w:ascii="Times New Roman" w:hAnsi="Times New Roman" w:cs="Times New Roman"/>
                      <w:b/>
                      <w:bCs/>
                    </w:rPr>
                    <w:t>Viešųjų finansų srautas</w:t>
                  </w:r>
                </w:p>
              </w:tc>
              <w:tc>
                <w:tcPr>
                  <w:tcW w:w="897" w:type="pct"/>
                  <w:shd w:val="clear" w:color="auto" w:fill="EEECE1" w:themeFill="background2"/>
                  <w:hideMark/>
                </w:tcPr>
                <w:p w14:paraId="2B51B6BB" w14:textId="77777777" w:rsidR="006748C3" w:rsidRPr="001D05A8" w:rsidRDefault="006748C3" w:rsidP="006748C3">
                  <w:pPr>
                    <w:jc w:val="center"/>
                    <w:rPr>
                      <w:rFonts w:ascii="Times New Roman" w:eastAsia="Times New Roman" w:hAnsi="Times New Roman" w:cs="Times New Roman"/>
                      <w:b/>
                      <w:bCs/>
                    </w:rPr>
                  </w:pPr>
                  <w:r w:rsidRPr="001D05A8">
                    <w:rPr>
                      <w:rFonts w:ascii="Times New Roman" w:hAnsi="Times New Roman" w:cs="Times New Roman"/>
                      <w:b/>
                      <w:bCs/>
                    </w:rPr>
                    <w:t>Grynoji dabartinė vertė</w:t>
                  </w:r>
                </w:p>
              </w:tc>
              <w:tc>
                <w:tcPr>
                  <w:tcW w:w="747" w:type="pct"/>
                  <w:shd w:val="clear" w:color="auto" w:fill="EEECE1" w:themeFill="background2"/>
                  <w:noWrap/>
                  <w:hideMark/>
                </w:tcPr>
                <w:p w14:paraId="78DBDBC1" w14:textId="77777777" w:rsidR="006748C3" w:rsidRPr="001D05A8" w:rsidRDefault="006748C3" w:rsidP="006748C3">
                  <w:pPr>
                    <w:jc w:val="center"/>
                    <w:rPr>
                      <w:rFonts w:ascii="Times New Roman" w:eastAsia="Times New Roman" w:hAnsi="Times New Roman" w:cs="Times New Roman"/>
                      <w:b/>
                      <w:bCs/>
                    </w:rPr>
                  </w:pPr>
                  <w:r w:rsidRPr="001D05A8">
                    <w:rPr>
                      <w:rFonts w:ascii="Times New Roman" w:hAnsi="Times New Roman" w:cs="Times New Roman"/>
                      <w:b/>
                      <w:bCs/>
                    </w:rPr>
                    <w:t>Reali vertė</w:t>
                  </w:r>
                </w:p>
              </w:tc>
            </w:tr>
            <w:tr w:rsidR="006748C3" w:rsidRPr="001D05A8" w14:paraId="1090EA76" w14:textId="77777777" w:rsidTr="00766489">
              <w:tc>
                <w:tcPr>
                  <w:tcW w:w="378" w:type="pct"/>
                  <w:shd w:val="clear" w:color="auto" w:fill="auto"/>
                  <w:noWrap/>
                  <w:hideMark/>
                </w:tcPr>
                <w:p w14:paraId="48C430F9" w14:textId="77777777" w:rsidR="006748C3" w:rsidRPr="001D05A8" w:rsidRDefault="006748C3" w:rsidP="006748C3">
                  <w:pPr>
                    <w:jc w:val="center"/>
                    <w:rPr>
                      <w:rFonts w:ascii="Times New Roman" w:eastAsia="Times New Roman" w:hAnsi="Times New Roman" w:cs="Times New Roman"/>
                    </w:rPr>
                  </w:pPr>
                  <w:r w:rsidRPr="001D05A8">
                    <w:rPr>
                      <w:rFonts w:ascii="Times New Roman" w:hAnsi="Times New Roman" w:cs="Times New Roman"/>
                    </w:rPr>
                    <w:t>S.</w:t>
                  </w:r>
                </w:p>
              </w:tc>
              <w:tc>
                <w:tcPr>
                  <w:tcW w:w="2978" w:type="pct"/>
                  <w:shd w:val="clear" w:color="auto" w:fill="auto"/>
                  <w:hideMark/>
                </w:tcPr>
                <w:p w14:paraId="2997A46A" w14:textId="77777777" w:rsidR="006748C3" w:rsidRPr="001D05A8" w:rsidRDefault="006748C3" w:rsidP="006748C3">
                  <w:pPr>
                    <w:jc w:val="center"/>
                    <w:rPr>
                      <w:rFonts w:ascii="Times New Roman" w:eastAsia="Times New Roman" w:hAnsi="Times New Roman" w:cs="Times New Roman"/>
                    </w:rPr>
                  </w:pPr>
                  <w:r w:rsidRPr="001D05A8">
                    <w:rPr>
                      <w:rFonts w:ascii="Times New Roman" w:hAnsi="Times New Roman" w:cs="Times New Roman"/>
                    </w:rPr>
                    <w:t>Investicijų, reinvesticijų ir grynasis veiklos srautas (be PVM)</w:t>
                  </w:r>
                </w:p>
              </w:tc>
              <w:tc>
                <w:tcPr>
                  <w:tcW w:w="897" w:type="pct"/>
                  <w:tcBorders>
                    <w:top w:val="single" w:sz="4" w:space="0" w:color="auto"/>
                    <w:left w:val="single" w:sz="4" w:space="0" w:color="auto"/>
                    <w:bottom w:val="single" w:sz="4" w:space="0" w:color="auto"/>
                    <w:right w:val="single" w:sz="4" w:space="0" w:color="auto"/>
                  </w:tcBorders>
                  <w:shd w:val="clear" w:color="auto" w:fill="auto"/>
                  <w:vAlign w:val="bottom"/>
                </w:tcPr>
                <w:p w14:paraId="398B35D3" w14:textId="77777777" w:rsidR="006748C3" w:rsidRPr="001D05A8" w:rsidRDefault="006748C3" w:rsidP="006748C3">
                  <w:pPr>
                    <w:jc w:val="center"/>
                    <w:rPr>
                      <w:rFonts w:ascii="Times New Roman" w:hAnsi="Times New Roman" w:cs="Times New Roman"/>
                    </w:rPr>
                  </w:pPr>
                  <w:r w:rsidRPr="001D05A8">
                    <w:rPr>
                      <w:rFonts w:ascii="Times New Roman" w:hAnsi="Times New Roman" w:cs="Times New Roman"/>
                      <w:color w:val="000000"/>
                      <w:lang w:eastAsia="lt-LT"/>
                    </w:rPr>
                    <w:t>287.226.718</w:t>
                  </w:r>
                </w:p>
              </w:tc>
              <w:tc>
                <w:tcPr>
                  <w:tcW w:w="747" w:type="pct"/>
                  <w:tcBorders>
                    <w:top w:val="single" w:sz="4" w:space="0" w:color="auto"/>
                    <w:left w:val="nil"/>
                    <w:bottom w:val="single" w:sz="4" w:space="0" w:color="auto"/>
                    <w:right w:val="single" w:sz="4" w:space="0" w:color="auto"/>
                  </w:tcBorders>
                  <w:shd w:val="clear" w:color="auto" w:fill="auto"/>
                  <w:vAlign w:val="bottom"/>
                </w:tcPr>
                <w:p w14:paraId="2C9CA5C9" w14:textId="77777777" w:rsidR="006748C3" w:rsidRPr="001D05A8" w:rsidRDefault="006748C3" w:rsidP="006748C3">
                  <w:pPr>
                    <w:jc w:val="center"/>
                    <w:rPr>
                      <w:rFonts w:ascii="Times New Roman" w:hAnsi="Times New Roman" w:cs="Times New Roman"/>
                      <w:color w:val="000000" w:themeColor="text1"/>
                    </w:rPr>
                  </w:pPr>
                  <w:r w:rsidRPr="001D05A8">
                    <w:rPr>
                      <w:rFonts w:ascii="Times New Roman" w:hAnsi="Times New Roman" w:cs="Times New Roman"/>
                      <w:color w:val="000000"/>
                      <w:lang w:eastAsia="lt-LT"/>
                    </w:rPr>
                    <w:t>349.923.065</w:t>
                  </w:r>
                </w:p>
              </w:tc>
            </w:tr>
            <w:tr w:rsidR="006748C3" w:rsidRPr="001D05A8" w14:paraId="31FC1CEE" w14:textId="77777777" w:rsidTr="00766489">
              <w:tc>
                <w:tcPr>
                  <w:tcW w:w="378" w:type="pct"/>
                  <w:shd w:val="clear" w:color="auto" w:fill="auto"/>
                  <w:noWrap/>
                  <w:hideMark/>
                </w:tcPr>
                <w:p w14:paraId="227F6D90" w14:textId="77777777" w:rsidR="006748C3" w:rsidRPr="001D05A8" w:rsidRDefault="006748C3" w:rsidP="006748C3">
                  <w:pPr>
                    <w:jc w:val="center"/>
                    <w:rPr>
                      <w:rFonts w:ascii="Times New Roman" w:eastAsia="Times New Roman" w:hAnsi="Times New Roman" w:cs="Times New Roman"/>
                    </w:rPr>
                  </w:pPr>
                  <w:r w:rsidRPr="001D05A8">
                    <w:rPr>
                      <w:rFonts w:ascii="Times New Roman" w:hAnsi="Times New Roman" w:cs="Times New Roman"/>
                    </w:rPr>
                    <w:t>T.</w:t>
                  </w:r>
                </w:p>
              </w:tc>
              <w:tc>
                <w:tcPr>
                  <w:tcW w:w="2978" w:type="pct"/>
                  <w:shd w:val="clear" w:color="auto" w:fill="auto"/>
                  <w:noWrap/>
                  <w:hideMark/>
                </w:tcPr>
                <w:p w14:paraId="0D9AE5BD" w14:textId="77777777" w:rsidR="006748C3" w:rsidRPr="001D05A8" w:rsidRDefault="006748C3" w:rsidP="006748C3">
                  <w:pPr>
                    <w:jc w:val="center"/>
                    <w:rPr>
                      <w:rFonts w:ascii="Times New Roman" w:eastAsia="Times New Roman" w:hAnsi="Times New Roman" w:cs="Times New Roman"/>
                    </w:rPr>
                  </w:pPr>
                  <w:r w:rsidRPr="001D05A8">
                    <w:rPr>
                      <w:rFonts w:ascii="Times New Roman" w:hAnsi="Times New Roman" w:cs="Times New Roman"/>
                    </w:rPr>
                    <w:t>Privataus ir NVO sektoriaus grynasis veiklos srautas (be PVM)</w:t>
                  </w:r>
                </w:p>
              </w:tc>
              <w:tc>
                <w:tcPr>
                  <w:tcW w:w="897" w:type="pct"/>
                  <w:shd w:val="clear" w:color="auto" w:fill="auto"/>
                </w:tcPr>
                <w:p w14:paraId="0A6C2E86" w14:textId="77777777" w:rsidR="006748C3" w:rsidRPr="001D05A8" w:rsidRDefault="006748C3" w:rsidP="006748C3">
                  <w:pPr>
                    <w:jc w:val="center"/>
                    <w:rPr>
                      <w:rFonts w:ascii="Times New Roman" w:hAnsi="Times New Roman" w:cs="Times New Roman"/>
                    </w:rPr>
                  </w:pPr>
                </w:p>
              </w:tc>
              <w:tc>
                <w:tcPr>
                  <w:tcW w:w="747" w:type="pct"/>
                  <w:shd w:val="clear" w:color="auto" w:fill="auto"/>
                </w:tcPr>
                <w:p w14:paraId="73417A42" w14:textId="77777777" w:rsidR="006748C3" w:rsidRPr="001D05A8" w:rsidRDefault="006748C3" w:rsidP="006748C3">
                  <w:pPr>
                    <w:jc w:val="center"/>
                    <w:rPr>
                      <w:rFonts w:ascii="Times New Roman" w:hAnsi="Times New Roman" w:cs="Times New Roman"/>
                    </w:rPr>
                  </w:pPr>
                </w:p>
              </w:tc>
            </w:tr>
            <w:tr w:rsidR="006748C3" w:rsidRPr="001D05A8" w14:paraId="1B8E60BB" w14:textId="77777777" w:rsidTr="00766489">
              <w:tc>
                <w:tcPr>
                  <w:tcW w:w="378" w:type="pct"/>
                  <w:shd w:val="clear" w:color="auto" w:fill="auto"/>
                  <w:noWrap/>
                  <w:hideMark/>
                </w:tcPr>
                <w:p w14:paraId="2FEEA01E" w14:textId="77777777" w:rsidR="006748C3" w:rsidRPr="001D05A8" w:rsidRDefault="006748C3" w:rsidP="006748C3">
                  <w:pPr>
                    <w:jc w:val="center"/>
                    <w:rPr>
                      <w:rFonts w:ascii="Times New Roman" w:eastAsia="Times New Roman" w:hAnsi="Times New Roman" w:cs="Times New Roman"/>
                    </w:rPr>
                  </w:pPr>
                  <w:r w:rsidRPr="001D05A8">
                    <w:rPr>
                      <w:rFonts w:ascii="Times New Roman" w:hAnsi="Times New Roman" w:cs="Times New Roman"/>
                    </w:rPr>
                    <w:t>U.</w:t>
                  </w:r>
                </w:p>
              </w:tc>
              <w:tc>
                <w:tcPr>
                  <w:tcW w:w="2978" w:type="pct"/>
                  <w:shd w:val="clear" w:color="auto" w:fill="auto"/>
                  <w:noWrap/>
                  <w:hideMark/>
                </w:tcPr>
                <w:p w14:paraId="70816794" w14:textId="77777777" w:rsidR="006748C3" w:rsidRPr="001D05A8" w:rsidRDefault="006748C3" w:rsidP="006748C3">
                  <w:pPr>
                    <w:jc w:val="center"/>
                    <w:rPr>
                      <w:rFonts w:ascii="Times New Roman" w:eastAsia="Times New Roman" w:hAnsi="Times New Roman" w:cs="Times New Roman"/>
                    </w:rPr>
                  </w:pPr>
                  <w:r w:rsidRPr="001D05A8">
                    <w:rPr>
                      <w:rFonts w:ascii="Times New Roman" w:hAnsi="Times New Roman" w:cs="Times New Roman"/>
                    </w:rPr>
                    <w:t>PVM dalis, sumokėta privataus ir NVO sektoriaus</w:t>
                  </w:r>
                </w:p>
              </w:tc>
              <w:tc>
                <w:tcPr>
                  <w:tcW w:w="897" w:type="pct"/>
                  <w:shd w:val="clear" w:color="auto" w:fill="auto"/>
                </w:tcPr>
                <w:p w14:paraId="2F6F79F3" w14:textId="77777777" w:rsidR="006748C3" w:rsidRPr="001D05A8" w:rsidRDefault="006748C3" w:rsidP="006748C3">
                  <w:pPr>
                    <w:jc w:val="center"/>
                    <w:rPr>
                      <w:rFonts w:ascii="Times New Roman" w:hAnsi="Times New Roman" w:cs="Times New Roman"/>
                    </w:rPr>
                  </w:pPr>
                </w:p>
              </w:tc>
              <w:tc>
                <w:tcPr>
                  <w:tcW w:w="747" w:type="pct"/>
                  <w:shd w:val="clear" w:color="auto" w:fill="auto"/>
                </w:tcPr>
                <w:p w14:paraId="62A62961" w14:textId="77777777" w:rsidR="006748C3" w:rsidRPr="001D05A8" w:rsidRDefault="006748C3" w:rsidP="006748C3">
                  <w:pPr>
                    <w:jc w:val="center"/>
                    <w:rPr>
                      <w:rFonts w:ascii="Times New Roman" w:hAnsi="Times New Roman" w:cs="Times New Roman"/>
                    </w:rPr>
                  </w:pPr>
                </w:p>
              </w:tc>
            </w:tr>
            <w:tr w:rsidR="006748C3" w:rsidRPr="001D05A8" w14:paraId="7A075BBC" w14:textId="77777777" w:rsidTr="00766489">
              <w:tc>
                <w:tcPr>
                  <w:tcW w:w="378" w:type="pct"/>
                  <w:shd w:val="clear" w:color="auto" w:fill="auto"/>
                  <w:noWrap/>
                  <w:hideMark/>
                </w:tcPr>
                <w:p w14:paraId="4021AE64" w14:textId="77777777" w:rsidR="006748C3" w:rsidRPr="001D05A8" w:rsidRDefault="006748C3" w:rsidP="006748C3">
                  <w:pPr>
                    <w:jc w:val="center"/>
                    <w:rPr>
                      <w:rFonts w:ascii="Times New Roman" w:eastAsia="Times New Roman" w:hAnsi="Times New Roman" w:cs="Times New Roman"/>
                    </w:rPr>
                  </w:pPr>
                </w:p>
              </w:tc>
              <w:tc>
                <w:tcPr>
                  <w:tcW w:w="2978" w:type="pct"/>
                  <w:shd w:val="clear" w:color="auto" w:fill="auto"/>
                  <w:noWrap/>
                  <w:hideMark/>
                </w:tcPr>
                <w:p w14:paraId="672BFE9A" w14:textId="77777777" w:rsidR="006748C3" w:rsidRPr="001D05A8" w:rsidRDefault="006748C3" w:rsidP="006748C3">
                  <w:pPr>
                    <w:jc w:val="center"/>
                    <w:rPr>
                      <w:rFonts w:ascii="Times New Roman" w:eastAsia="Times New Roman" w:hAnsi="Times New Roman" w:cs="Times New Roman"/>
                      <w:b/>
                      <w:bCs/>
                    </w:rPr>
                  </w:pPr>
                  <w:r w:rsidRPr="001D05A8">
                    <w:rPr>
                      <w:rFonts w:ascii="Times New Roman" w:hAnsi="Times New Roman" w:cs="Times New Roman"/>
                      <w:b/>
                      <w:bCs/>
                    </w:rPr>
                    <w:t>POVEIKIS VIEŠIESIEMS FINANSAMS</w:t>
                  </w:r>
                </w:p>
              </w:tc>
              <w:tc>
                <w:tcPr>
                  <w:tcW w:w="897" w:type="pct"/>
                  <w:tcBorders>
                    <w:top w:val="single" w:sz="4" w:space="0" w:color="auto"/>
                    <w:left w:val="single" w:sz="4" w:space="0" w:color="auto"/>
                    <w:bottom w:val="single" w:sz="4" w:space="0" w:color="auto"/>
                    <w:right w:val="single" w:sz="4" w:space="0" w:color="auto"/>
                  </w:tcBorders>
                  <w:shd w:val="clear" w:color="auto" w:fill="auto"/>
                  <w:vAlign w:val="bottom"/>
                </w:tcPr>
                <w:p w14:paraId="1DD356B4" w14:textId="77777777" w:rsidR="006748C3" w:rsidRPr="001D05A8" w:rsidRDefault="006748C3" w:rsidP="006748C3">
                  <w:pPr>
                    <w:jc w:val="center"/>
                    <w:rPr>
                      <w:rFonts w:ascii="Times New Roman" w:hAnsi="Times New Roman" w:cs="Times New Roman"/>
                      <w:b/>
                    </w:rPr>
                  </w:pPr>
                  <w:r w:rsidRPr="001D05A8">
                    <w:rPr>
                      <w:rFonts w:ascii="Times New Roman" w:hAnsi="Times New Roman" w:cs="Times New Roman"/>
                      <w:color w:val="000000"/>
                      <w:lang w:eastAsia="lt-LT"/>
                    </w:rPr>
                    <w:t>-287.226.718</w:t>
                  </w:r>
                </w:p>
              </w:tc>
              <w:tc>
                <w:tcPr>
                  <w:tcW w:w="747" w:type="pct"/>
                  <w:tcBorders>
                    <w:top w:val="single" w:sz="4" w:space="0" w:color="auto"/>
                    <w:left w:val="nil"/>
                    <w:bottom w:val="single" w:sz="4" w:space="0" w:color="auto"/>
                    <w:right w:val="single" w:sz="4" w:space="0" w:color="auto"/>
                  </w:tcBorders>
                  <w:shd w:val="clear" w:color="auto" w:fill="auto"/>
                  <w:vAlign w:val="bottom"/>
                </w:tcPr>
                <w:p w14:paraId="4FB1FB6D" w14:textId="77777777" w:rsidR="006748C3" w:rsidRPr="001D05A8" w:rsidRDefault="006748C3" w:rsidP="006748C3">
                  <w:pPr>
                    <w:jc w:val="center"/>
                    <w:rPr>
                      <w:rFonts w:ascii="Times New Roman" w:hAnsi="Times New Roman" w:cs="Times New Roman"/>
                      <w:b/>
                      <w:color w:val="000000" w:themeColor="text1"/>
                    </w:rPr>
                  </w:pPr>
                  <w:r w:rsidRPr="001D05A8">
                    <w:rPr>
                      <w:rFonts w:ascii="Times New Roman" w:hAnsi="Times New Roman" w:cs="Times New Roman"/>
                      <w:color w:val="000000"/>
                      <w:lang w:eastAsia="lt-LT"/>
                    </w:rPr>
                    <w:t>-349.923.065</w:t>
                  </w:r>
                </w:p>
              </w:tc>
            </w:tr>
          </w:tbl>
          <w:p w14:paraId="02EF52A6" w14:textId="77777777" w:rsidR="00766489" w:rsidRPr="001D5207" w:rsidRDefault="00766489" w:rsidP="006748C3">
            <w:pPr>
              <w:jc w:val="both"/>
              <w:rPr>
                <w:sz w:val="22"/>
                <w:szCs w:val="22"/>
              </w:rPr>
            </w:pPr>
          </w:p>
          <w:p w14:paraId="73FA3B03" w14:textId="77777777" w:rsidR="00766489" w:rsidRPr="001D5207" w:rsidRDefault="00766489" w:rsidP="006748C3">
            <w:pPr>
              <w:jc w:val="both"/>
              <w:rPr>
                <w:sz w:val="22"/>
                <w:szCs w:val="22"/>
              </w:rPr>
            </w:pPr>
          </w:p>
          <w:p w14:paraId="0C970FAE" w14:textId="53706D4D" w:rsidR="006748C3" w:rsidRPr="001D5207" w:rsidRDefault="005049DD" w:rsidP="006748C3">
            <w:pPr>
              <w:jc w:val="both"/>
              <w:rPr>
                <w:sz w:val="22"/>
                <w:szCs w:val="22"/>
              </w:rPr>
            </w:pPr>
            <w:r>
              <w:rPr>
                <w:sz w:val="22"/>
                <w:szCs w:val="22"/>
              </w:rPr>
              <w:t xml:space="preserve">Vadovaujantis gautais sąnaudų–naudos analizės rezultatais, </w:t>
            </w:r>
            <w:proofErr w:type="spellStart"/>
            <w:r>
              <w:rPr>
                <w:sz w:val="22"/>
                <w:szCs w:val="22"/>
              </w:rPr>
              <w:t>teigtina</w:t>
            </w:r>
            <w:proofErr w:type="spellEnd"/>
            <w:r>
              <w:rPr>
                <w:sz w:val="22"/>
                <w:szCs w:val="22"/>
              </w:rPr>
              <w:t xml:space="preserve">, kad </w:t>
            </w:r>
            <w:r w:rsidR="006748C3" w:rsidRPr="001D5207">
              <w:rPr>
                <w:sz w:val="22"/>
                <w:szCs w:val="22"/>
              </w:rPr>
              <w:t>geriausia</w:t>
            </w:r>
            <w:r>
              <w:rPr>
                <w:sz w:val="22"/>
                <w:szCs w:val="22"/>
              </w:rPr>
              <w:t xml:space="preserve"> alternatyva yra  </w:t>
            </w:r>
            <w:r w:rsidR="006748C3" w:rsidRPr="001D5207">
              <w:rPr>
                <w:b/>
                <w:bCs/>
                <w:sz w:val="22"/>
                <w:szCs w:val="22"/>
              </w:rPr>
              <w:t>Alternatyva Nr. I.</w:t>
            </w:r>
            <w:r w:rsidR="006748C3" w:rsidRPr="001D5207">
              <w:rPr>
                <w:sz w:val="22"/>
                <w:szCs w:val="22"/>
              </w:rPr>
              <w:t xml:space="preserve"> Ši alternatyva atrinkta remiantis SNA rezultatais bei generuojama didžiausia nauda visuomenei. Įgyvendinus šią alternatyvą bus pasiektas tas pats rezultato rodiklis, kaip ir II alternatyvos atveju „</w:t>
            </w:r>
            <w:r w:rsidR="006748C3" w:rsidRPr="001D5207">
              <w:rPr>
                <w:color w:val="000000" w:themeColor="text1"/>
                <w:sz w:val="22"/>
                <w:szCs w:val="22"/>
              </w:rPr>
              <w:t>Senyvo amžiaus asmenų, gavusių socialines paslaugas naujoje ar modernizuotoje infrastruktūroje, skaičius per metus – 2736 (</w:t>
            </w:r>
            <w:proofErr w:type="spellStart"/>
            <w:r w:rsidR="006748C3" w:rsidRPr="001D5207">
              <w:rPr>
                <w:color w:val="000000" w:themeColor="text1"/>
                <w:sz w:val="22"/>
                <w:szCs w:val="22"/>
              </w:rPr>
              <w:t>abs</w:t>
            </w:r>
            <w:proofErr w:type="spellEnd"/>
            <w:r w:rsidR="006748C3" w:rsidRPr="001D5207">
              <w:rPr>
                <w:color w:val="000000" w:themeColor="text1"/>
                <w:sz w:val="22"/>
                <w:szCs w:val="22"/>
              </w:rPr>
              <w:t>. sk.)</w:t>
            </w:r>
            <w:r w:rsidR="006748C3" w:rsidRPr="001D5207">
              <w:rPr>
                <w:sz w:val="22"/>
                <w:szCs w:val="22"/>
              </w:rPr>
              <w:t>, bet patirtos investicijų išlaidos bus mažesnės daugiau nei 6  kartus.</w:t>
            </w:r>
          </w:p>
          <w:p w14:paraId="5C1C5D08" w14:textId="312E564F" w:rsidR="006748C3" w:rsidRPr="001D5207" w:rsidRDefault="006748C3" w:rsidP="006748C3">
            <w:pPr>
              <w:jc w:val="both"/>
              <w:rPr>
                <w:sz w:val="22"/>
                <w:szCs w:val="22"/>
              </w:rPr>
            </w:pPr>
          </w:p>
          <w:p w14:paraId="4FA73585" w14:textId="77777777" w:rsidR="00E44DC8" w:rsidRPr="001D5207" w:rsidRDefault="00E44DC8" w:rsidP="006748C3">
            <w:pPr>
              <w:ind w:firstLine="567"/>
              <w:jc w:val="both"/>
              <w:rPr>
                <w:sz w:val="20"/>
                <w:szCs w:val="24"/>
              </w:rPr>
            </w:pPr>
          </w:p>
        </w:tc>
      </w:tr>
    </w:tbl>
    <w:p w14:paraId="724333AF" w14:textId="77777777" w:rsidR="00E44DC8" w:rsidRDefault="00E44DC8">
      <w:pPr>
        <w:ind w:firstLine="567"/>
        <w:jc w:val="both"/>
        <w:rPr>
          <w:i/>
          <w:color w:val="808080"/>
          <w:sz w:val="20"/>
        </w:rPr>
      </w:pPr>
    </w:p>
    <w:p w14:paraId="1722A31C" w14:textId="77777777" w:rsidR="00E44DC8" w:rsidRDefault="005C645F">
      <w:pPr>
        <w:jc w:val="center"/>
        <w:rPr>
          <w:sz w:val="22"/>
          <w:szCs w:val="22"/>
        </w:rPr>
      </w:pPr>
      <w:r>
        <w:rPr>
          <w:sz w:val="22"/>
          <w:szCs w:val="22"/>
        </w:rPr>
        <w:t>___________________________</w:t>
      </w:r>
    </w:p>
    <w:sectPr w:rsidR="00E44DC8">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EFF9F" w14:textId="77777777" w:rsidR="00331100" w:rsidRDefault="00331100">
      <w:pPr>
        <w:rPr>
          <w:sz w:val="22"/>
          <w:szCs w:val="22"/>
        </w:rPr>
      </w:pPr>
      <w:r>
        <w:rPr>
          <w:sz w:val="22"/>
          <w:szCs w:val="22"/>
        </w:rPr>
        <w:separator/>
      </w:r>
    </w:p>
  </w:endnote>
  <w:endnote w:type="continuationSeparator" w:id="0">
    <w:p w14:paraId="57F0A5BA" w14:textId="77777777" w:rsidR="00331100" w:rsidRDefault="00331100">
      <w:pPr>
        <w:rPr>
          <w:sz w:val="22"/>
          <w:szCs w:val="22"/>
        </w:rPr>
      </w:pPr>
      <w:r>
        <w:rPr>
          <w:sz w:val="22"/>
          <w:szCs w:val="22"/>
        </w:rPr>
        <w:continuationSeparator/>
      </w:r>
    </w:p>
  </w:endnote>
  <w:endnote w:type="continuationNotice" w:id="1">
    <w:p w14:paraId="54D5932E" w14:textId="77777777" w:rsidR="00331100" w:rsidRDefault="00331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DD2A" w14:textId="77777777" w:rsidR="00E44DC8" w:rsidRDefault="00E44DC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57828" w14:textId="77777777" w:rsidR="00E44DC8" w:rsidRDefault="00E44DC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67E3" w14:textId="77777777" w:rsidR="00E44DC8" w:rsidRDefault="00E44DC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E81F9" w14:textId="77777777" w:rsidR="00331100" w:rsidRDefault="00331100">
      <w:pPr>
        <w:rPr>
          <w:sz w:val="22"/>
          <w:szCs w:val="22"/>
        </w:rPr>
      </w:pPr>
      <w:r>
        <w:rPr>
          <w:sz w:val="22"/>
          <w:szCs w:val="22"/>
        </w:rPr>
        <w:separator/>
      </w:r>
    </w:p>
  </w:footnote>
  <w:footnote w:type="continuationSeparator" w:id="0">
    <w:p w14:paraId="130BD305" w14:textId="77777777" w:rsidR="00331100" w:rsidRDefault="00331100">
      <w:pPr>
        <w:rPr>
          <w:sz w:val="22"/>
          <w:szCs w:val="22"/>
        </w:rPr>
      </w:pPr>
      <w:r>
        <w:rPr>
          <w:sz w:val="22"/>
          <w:szCs w:val="22"/>
        </w:rPr>
        <w:continuationSeparator/>
      </w:r>
    </w:p>
  </w:footnote>
  <w:footnote w:type="continuationNotice" w:id="1">
    <w:p w14:paraId="0C5B670E" w14:textId="77777777" w:rsidR="00331100" w:rsidRDefault="00331100"/>
  </w:footnote>
  <w:footnote w:id="2">
    <w:p w14:paraId="698980A9" w14:textId="77777777" w:rsidR="00902D38" w:rsidRPr="009A3F5B" w:rsidRDefault="00902D38" w:rsidP="00902D38">
      <w:pPr>
        <w:pStyle w:val="Puslapioinaostekstas"/>
        <w:rPr>
          <w:rFonts w:ascii="Times New Roman" w:eastAsia="Times New Roman" w:hAnsi="Times New Roman" w:cs="Times New Roman"/>
          <w:sz w:val="16"/>
          <w:szCs w:val="16"/>
        </w:rPr>
      </w:pPr>
      <w:r w:rsidRPr="002F0487">
        <w:rPr>
          <w:rStyle w:val="Puslapioinaosnuoroda"/>
          <w:rFonts w:ascii="Times New Roman" w:hAnsi="Times New Roman" w:cs="Times New Roman"/>
          <w:sz w:val="16"/>
          <w:szCs w:val="16"/>
        </w:rPr>
        <w:footnoteRef/>
      </w:r>
      <w:r w:rsidRPr="002F0487">
        <w:rPr>
          <w:rFonts w:ascii="Times New Roman" w:eastAsia="Times New Roman" w:hAnsi="Times New Roman" w:cs="Times New Roman"/>
          <w:sz w:val="16"/>
          <w:szCs w:val="16"/>
        </w:rPr>
        <w:t xml:space="preserve"> </w:t>
      </w:r>
      <w:bookmarkStart w:id="2" w:name="_Hlk116232068"/>
      <w:r w:rsidRPr="002F0487">
        <w:rPr>
          <w:rFonts w:ascii="Times New Roman" w:eastAsia="Times New Roman" w:hAnsi="Times New Roman" w:cs="Times New Roman"/>
          <w:sz w:val="16"/>
          <w:szCs w:val="16"/>
        </w:rPr>
        <w:t>Patvirtinta Lietuvos Respublikos Vyriausybės 2021 m. lapkričio 10 d. nutarimu Nr. 931 „Dėl 2021–2030 metų plėtros programos valdytojos</w:t>
      </w:r>
      <w:r w:rsidRPr="009A3F5B">
        <w:rPr>
          <w:rFonts w:ascii="Times New Roman" w:eastAsia="Times New Roman" w:hAnsi="Times New Roman" w:cs="Times New Roman"/>
          <w:sz w:val="16"/>
          <w:szCs w:val="16"/>
        </w:rPr>
        <w:t xml:space="preserve"> Lietuvos Respublikos socialinės apsaugos ir darbo ministerijos Socialinės </w:t>
      </w:r>
      <w:proofErr w:type="spellStart"/>
      <w:r w:rsidRPr="009A3F5B">
        <w:rPr>
          <w:rFonts w:ascii="Times New Roman" w:eastAsia="Times New Roman" w:hAnsi="Times New Roman" w:cs="Times New Roman"/>
          <w:sz w:val="16"/>
          <w:szCs w:val="16"/>
        </w:rPr>
        <w:t>sutelkties</w:t>
      </w:r>
      <w:proofErr w:type="spellEnd"/>
      <w:r w:rsidRPr="009A3F5B">
        <w:rPr>
          <w:rFonts w:ascii="Times New Roman" w:eastAsia="Times New Roman" w:hAnsi="Times New Roman" w:cs="Times New Roman"/>
          <w:sz w:val="16"/>
          <w:szCs w:val="16"/>
        </w:rPr>
        <w:t xml:space="preserve"> plėtros programos patvirtinimo“ (nuoroda: </w:t>
      </w:r>
      <w:bookmarkEnd w:id="2"/>
      <w:r w:rsidRPr="009A3F5B">
        <w:rPr>
          <w:rStyle w:val="Hipersaitas"/>
          <w:rFonts w:ascii="Times New Roman" w:hAnsi="Times New Roman" w:cs="Times New Roman"/>
          <w:sz w:val="16"/>
          <w:szCs w:val="16"/>
        </w:rPr>
        <w:t>https://e-seimas.lrs.lt/portal/legalAct/lt/TAD/c581fd14438311eca8a1caec3ec4b244?jfwid=rivwzvpvg</w:t>
      </w:r>
      <w:r w:rsidRPr="009A3F5B">
        <w:rPr>
          <w:rFonts w:ascii="Times New Roman" w:eastAsia="Times New Roman" w:hAnsi="Times New Roman" w:cs="Times New Roman"/>
          <w:sz w:val="16"/>
          <w:szCs w:val="16"/>
        </w:rPr>
        <w:t xml:space="preserve"> </w:t>
      </w:r>
      <w:hyperlink r:id="rId1" w:history="1">
        <w:r w:rsidRPr="009A3F5B">
          <w:rPr>
            <w:rFonts w:ascii="Times New Roman" w:hAnsi="Times New Roman" w:cs="Times New Roman"/>
            <w:sz w:val="16"/>
            <w:szCs w:val="16"/>
          </w:rPr>
          <w:t>https://www.e-tar.lt/portal/lt/legalAct/f228ffc0438411ec992fe4cdfceb5666</w:t>
        </w:r>
      </w:hyperlink>
      <w:r w:rsidRPr="009A3F5B">
        <w:rPr>
          <w:rFonts w:ascii="Times New Roman" w:eastAsia="Times New Roman" w:hAnsi="Times New Roman" w:cs="Times New Roman"/>
          <w:sz w:val="16"/>
          <w:szCs w:val="16"/>
        </w:rPr>
        <w:t>)</w:t>
      </w:r>
    </w:p>
  </w:footnote>
  <w:footnote w:id="3">
    <w:p w14:paraId="02A83AB4" w14:textId="77777777" w:rsidR="00E624F3" w:rsidRPr="009A3F5B" w:rsidRDefault="00E624F3" w:rsidP="00E624F3">
      <w:pPr>
        <w:shd w:val="clear" w:color="auto" w:fill="FFFFFF"/>
        <w:outlineLvl w:val="0"/>
        <w:rPr>
          <w:sz w:val="16"/>
          <w:szCs w:val="16"/>
        </w:rPr>
      </w:pPr>
      <w:r w:rsidRPr="009A3F5B">
        <w:rPr>
          <w:rStyle w:val="Puslapioinaosnuoroda"/>
          <w:sz w:val="16"/>
          <w:szCs w:val="16"/>
        </w:rPr>
        <w:footnoteRef/>
      </w:r>
      <w:r w:rsidRPr="009A3F5B">
        <w:rPr>
          <w:sz w:val="16"/>
          <w:szCs w:val="16"/>
        </w:rPr>
        <w:t xml:space="preserve"> </w:t>
      </w:r>
      <w:r w:rsidRPr="009A3F5B">
        <w:rPr>
          <w:color w:val="000000" w:themeColor="text1"/>
          <w:kern w:val="36"/>
          <w:sz w:val="16"/>
          <w:szCs w:val="16"/>
          <w:lang w:eastAsia="lt-LT"/>
        </w:rPr>
        <w:t>2021 m. gyventojų ir būstų surašymo pagrindiniai rezultatai (</w:t>
      </w:r>
      <w:r w:rsidRPr="009A3F5B">
        <w:rPr>
          <w:rStyle w:val="Hipersaitas"/>
          <w:rFonts w:eastAsiaTheme="minorHAnsi"/>
          <w:sz w:val="16"/>
          <w:szCs w:val="16"/>
        </w:rPr>
        <w:t>nuoroda: https://osp.stat.gov.lt/informaciniai-pranesimai?eventId=288049)</w:t>
      </w:r>
    </w:p>
  </w:footnote>
  <w:footnote w:id="4">
    <w:p w14:paraId="0AE0CFCE" w14:textId="77777777" w:rsidR="00E624F3" w:rsidRPr="009A3F5B" w:rsidRDefault="00E624F3" w:rsidP="00E624F3">
      <w:pPr>
        <w:pStyle w:val="Puslapioinaostekstas"/>
        <w:rPr>
          <w:rFonts w:ascii="Times New Roman" w:hAnsi="Times New Roman" w:cs="Times New Roman"/>
          <w:sz w:val="16"/>
          <w:szCs w:val="16"/>
        </w:rPr>
      </w:pPr>
      <w:r w:rsidRPr="009A3F5B">
        <w:rPr>
          <w:rStyle w:val="Puslapioinaosnuoroda"/>
          <w:rFonts w:ascii="Times New Roman" w:hAnsi="Times New Roman" w:cs="Times New Roman"/>
          <w:sz w:val="16"/>
          <w:szCs w:val="16"/>
        </w:rPr>
        <w:footnoteRef/>
      </w:r>
      <w:r w:rsidRPr="009A3F5B">
        <w:rPr>
          <w:rFonts w:ascii="Times New Roman" w:hAnsi="Times New Roman" w:cs="Times New Roman"/>
          <w:sz w:val="16"/>
          <w:szCs w:val="16"/>
        </w:rPr>
        <w:t xml:space="preserve"> </w:t>
      </w:r>
      <w:r w:rsidRPr="009A3F5B">
        <w:rPr>
          <w:rFonts w:ascii="Times New Roman" w:hAnsi="Times New Roman" w:cs="Times New Roman"/>
          <w:color w:val="000000" w:themeColor="text1"/>
          <w:sz w:val="16"/>
          <w:szCs w:val="16"/>
          <w:shd w:val="clear" w:color="auto" w:fill="FFFFFF"/>
        </w:rPr>
        <w:t xml:space="preserve">Pocius A., Miežienė R., </w:t>
      </w:r>
      <w:proofErr w:type="spellStart"/>
      <w:r w:rsidRPr="009A3F5B">
        <w:rPr>
          <w:rFonts w:ascii="Times New Roman" w:hAnsi="Times New Roman" w:cs="Times New Roman"/>
          <w:color w:val="000000" w:themeColor="text1"/>
          <w:sz w:val="16"/>
          <w:szCs w:val="16"/>
          <w:shd w:val="clear" w:color="auto" w:fill="FFFFFF"/>
        </w:rPr>
        <w:t>Okunevičiūtė</w:t>
      </w:r>
      <w:proofErr w:type="spellEnd"/>
      <w:r w:rsidRPr="009A3F5B">
        <w:rPr>
          <w:rFonts w:ascii="Times New Roman" w:hAnsi="Times New Roman" w:cs="Times New Roman"/>
          <w:color w:val="000000" w:themeColor="text1"/>
          <w:sz w:val="16"/>
          <w:szCs w:val="16"/>
          <w:shd w:val="clear" w:color="auto" w:fill="FFFFFF"/>
        </w:rPr>
        <w:t xml:space="preserve"> </w:t>
      </w:r>
      <w:proofErr w:type="spellStart"/>
      <w:r w:rsidRPr="009A3F5B">
        <w:rPr>
          <w:rFonts w:ascii="Times New Roman" w:hAnsi="Times New Roman" w:cs="Times New Roman"/>
          <w:color w:val="000000" w:themeColor="text1"/>
          <w:sz w:val="16"/>
          <w:szCs w:val="16"/>
          <w:shd w:val="clear" w:color="auto" w:fill="FFFFFF"/>
        </w:rPr>
        <w:t>Neverauskienė</w:t>
      </w:r>
      <w:proofErr w:type="spellEnd"/>
      <w:r w:rsidRPr="009A3F5B">
        <w:rPr>
          <w:rFonts w:ascii="Times New Roman" w:hAnsi="Times New Roman" w:cs="Times New Roman"/>
          <w:color w:val="000000" w:themeColor="text1"/>
          <w:sz w:val="16"/>
          <w:szCs w:val="16"/>
          <w:shd w:val="clear" w:color="auto" w:fill="FFFFFF"/>
        </w:rPr>
        <w:t xml:space="preserve"> L. (2019). Demografinių pokyčių įtaka darbo rinkai Lietuvos apskrityse. Lietuvos socialinė raida. Regioniniai socialinės diferenciacijos ypatumai. Nr. 8. Vilnius: LSTC, p. 66-86. ISSN 2029-963X. Prieiga per internetą: </w:t>
      </w:r>
      <w:hyperlink r:id="rId2" w:tgtFrame="blank" w:history="1">
        <w:r w:rsidRPr="009A3F5B">
          <w:rPr>
            <w:rStyle w:val="Hipersaitas"/>
            <w:rFonts w:ascii="Times New Roman" w:hAnsi="Times New Roman" w:cs="Times New Roman"/>
            <w:color w:val="000000" w:themeColor="text1"/>
            <w:sz w:val="16"/>
            <w:szCs w:val="16"/>
            <w:shd w:val="clear" w:color="auto" w:fill="FFFFFF"/>
          </w:rPr>
          <w:t>https://www.lstc.lt/wp-content/uploads/2020/01/Lietuvos_socialine_raida_2019_8.pdf</w:t>
        </w:r>
      </w:hyperlink>
    </w:p>
  </w:footnote>
  <w:footnote w:id="5">
    <w:p w14:paraId="6D90BF18" w14:textId="77777777" w:rsidR="00E624F3" w:rsidRPr="009A3F5B" w:rsidRDefault="00E624F3" w:rsidP="00E624F3">
      <w:pPr>
        <w:rPr>
          <w:sz w:val="16"/>
          <w:szCs w:val="16"/>
        </w:rPr>
      </w:pPr>
      <w:r w:rsidRPr="009A3F5B">
        <w:rPr>
          <w:rStyle w:val="Puslapioinaosnuoroda"/>
          <w:sz w:val="16"/>
          <w:szCs w:val="16"/>
        </w:rPr>
        <w:footnoteRef/>
      </w:r>
      <w:r w:rsidRPr="009A3F5B">
        <w:rPr>
          <w:sz w:val="16"/>
          <w:szCs w:val="16"/>
        </w:rPr>
        <w:t xml:space="preserve"> STRATA (2023). Demografinių iššūkių sprendimo galimybių studija. Vyriausybės strateginės analizės centras. https://lrv.lt/lt/lietuva-2050/metodologija-tyrimai-apzvalgos/temines-ataskaitos/</w:t>
      </w:r>
    </w:p>
  </w:footnote>
  <w:footnote w:id="6">
    <w:p w14:paraId="64FFE176" w14:textId="77777777" w:rsidR="00E624F3" w:rsidRPr="00480C8B" w:rsidRDefault="00E624F3" w:rsidP="00E624F3">
      <w:pPr>
        <w:pStyle w:val="Puslapioinaostekstas"/>
        <w:rPr>
          <w:rFonts w:ascii="Times New Roman" w:hAnsi="Times New Roman" w:cs="Times New Roman"/>
          <w:sz w:val="16"/>
          <w:szCs w:val="16"/>
        </w:rPr>
      </w:pPr>
      <w:r w:rsidRPr="00480C8B">
        <w:rPr>
          <w:rStyle w:val="Puslapioinaosnuoroda"/>
          <w:rFonts w:ascii="Times New Roman" w:hAnsi="Times New Roman" w:cs="Times New Roman"/>
          <w:sz w:val="16"/>
          <w:szCs w:val="16"/>
        </w:rPr>
        <w:footnoteRef/>
      </w:r>
      <w:r w:rsidRPr="00480C8B">
        <w:rPr>
          <w:rFonts w:ascii="Times New Roman" w:hAnsi="Times New Roman" w:cs="Times New Roman"/>
          <w:sz w:val="16"/>
          <w:szCs w:val="16"/>
        </w:rPr>
        <w:t xml:space="preserve"> Valstybės duomenų agentūra, 2022</w:t>
      </w:r>
    </w:p>
  </w:footnote>
  <w:footnote w:id="7">
    <w:p w14:paraId="47795032" w14:textId="77777777" w:rsidR="00E624F3" w:rsidRPr="00480C8B" w:rsidRDefault="00E624F3" w:rsidP="00E624F3">
      <w:pPr>
        <w:pStyle w:val="Puslapioinaostekstas"/>
        <w:rPr>
          <w:rFonts w:ascii="Times New Roman" w:hAnsi="Times New Roman" w:cs="Times New Roman"/>
          <w:sz w:val="16"/>
          <w:szCs w:val="16"/>
        </w:rPr>
      </w:pPr>
      <w:r w:rsidRPr="00480C8B">
        <w:rPr>
          <w:rStyle w:val="Puslapioinaosnuoroda"/>
          <w:rFonts w:ascii="Times New Roman" w:hAnsi="Times New Roman" w:cs="Times New Roman"/>
          <w:sz w:val="16"/>
          <w:szCs w:val="16"/>
        </w:rPr>
        <w:footnoteRef/>
      </w:r>
      <w:r w:rsidRPr="00480C8B">
        <w:rPr>
          <w:rFonts w:ascii="Times New Roman" w:hAnsi="Times New Roman" w:cs="Times New Roman"/>
          <w:sz w:val="16"/>
          <w:szCs w:val="16"/>
        </w:rPr>
        <w:t xml:space="preserve"> UN (United </w:t>
      </w:r>
      <w:proofErr w:type="spellStart"/>
      <w:r w:rsidRPr="00480C8B">
        <w:rPr>
          <w:rFonts w:ascii="Times New Roman" w:hAnsi="Times New Roman" w:cs="Times New Roman"/>
          <w:sz w:val="16"/>
          <w:szCs w:val="16"/>
        </w:rPr>
        <w:t>Nations</w:t>
      </w:r>
      <w:proofErr w:type="spellEnd"/>
      <w:r w:rsidRPr="00480C8B">
        <w:rPr>
          <w:rFonts w:ascii="Times New Roman" w:hAnsi="Times New Roman" w:cs="Times New Roman"/>
          <w:sz w:val="16"/>
          <w:szCs w:val="16"/>
        </w:rPr>
        <w:t xml:space="preserve"> </w:t>
      </w:r>
      <w:proofErr w:type="spellStart"/>
      <w:r w:rsidRPr="00480C8B">
        <w:rPr>
          <w:rFonts w:ascii="Times New Roman" w:hAnsi="Times New Roman" w:cs="Times New Roman"/>
          <w:sz w:val="16"/>
          <w:szCs w:val="16"/>
        </w:rPr>
        <w:t>Department</w:t>
      </w:r>
      <w:proofErr w:type="spellEnd"/>
      <w:r w:rsidRPr="00480C8B">
        <w:rPr>
          <w:rFonts w:ascii="Times New Roman" w:hAnsi="Times New Roman" w:cs="Times New Roman"/>
          <w:sz w:val="16"/>
          <w:szCs w:val="16"/>
        </w:rPr>
        <w:t xml:space="preserve"> </w:t>
      </w:r>
      <w:proofErr w:type="spellStart"/>
      <w:r w:rsidRPr="00480C8B">
        <w:rPr>
          <w:rFonts w:ascii="Times New Roman" w:hAnsi="Times New Roman" w:cs="Times New Roman"/>
          <w:sz w:val="16"/>
          <w:szCs w:val="16"/>
        </w:rPr>
        <w:t>of</w:t>
      </w:r>
      <w:proofErr w:type="spellEnd"/>
      <w:r w:rsidRPr="00480C8B">
        <w:rPr>
          <w:rFonts w:ascii="Times New Roman" w:hAnsi="Times New Roman" w:cs="Times New Roman"/>
          <w:sz w:val="16"/>
          <w:szCs w:val="16"/>
        </w:rPr>
        <w:t xml:space="preserve"> </w:t>
      </w:r>
      <w:proofErr w:type="spellStart"/>
      <w:r w:rsidRPr="00480C8B">
        <w:rPr>
          <w:rFonts w:ascii="Times New Roman" w:hAnsi="Times New Roman" w:cs="Times New Roman"/>
          <w:sz w:val="16"/>
          <w:szCs w:val="16"/>
        </w:rPr>
        <w:t>Economic</w:t>
      </w:r>
      <w:proofErr w:type="spellEnd"/>
      <w:r w:rsidRPr="00480C8B">
        <w:rPr>
          <w:rFonts w:ascii="Times New Roman" w:hAnsi="Times New Roman" w:cs="Times New Roman"/>
          <w:sz w:val="16"/>
          <w:szCs w:val="16"/>
        </w:rPr>
        <w:t xml:space="preserve"> </w:t>
      </w:r>
      <w:proofErr w:type="spellStart"/>
      <w:r w:rsidRPr="00480C8B">
        <w:rPr>
          <w:rFonts w:ascii="Times New Roman" w:hAnsi="Times New Roman" w:cs="Times New Roman"/>
          <w:sz w:val="16"/>
          <w:szCs w:val="16"/>
        </w:rPr>
        <w:t>and</w:t>
      </w:r>
      <w:proofErr w:type="spellEnd"/>
      <w:r w:rsidRPr="00480C8B">
        <w:rPr>
          <w:rFonts w:ascii="Times New Roman" w:hAnsi="Times New Roman" w:cs="Times New Roman"/>
          <w:sz w:val="16"/>
          <w:szCs w:val="16"/>
        </w:rPr>
        <w:t xml:space="preserve"> </w:t>
      </w:r>
      <w:proofErr w:type="spellStart"/>
      <w:r w:rsidRPr="00480C8B">
        <w:rPr>
          <w:rFonts w:ascii="Times New Roman" w:hAnsi="Times New Roman" w:cs="Times New Roman"/>
          <w:sz w:val="16"/>
          <w:szCs w:val="16"/>
        </w:rPr>
        <w:t>Social</w:t>
      </w:r>
      <w:proofErr w:type="spellEnd"/>
      <w:r w:rsidRPr="00480C8B">
        <w:rPr>
          <w:rFonts w:ascii="Times New Roman" w:hAnsi="Times New Roman" w:cs="Times New Roman"/>
          <w:sz w:val="16"/>
          <w:szCs w:val="16"/>
        </w:rPr>
        <w:t xml:space="preserve"> </w:t>
      </w:r>
      <w:proofErr w:type="spellStart"/>
      <w:r w:rsidRPr="00480C8B">
        <w:rPr>
          <w:rFonts w:ascii="Times New Roman" w:hAnsi="Times New Roman" w:cs="Times New Roman"/>
          <w:sz w:val="16"/>
          <w:szCs w:val="16"/>
        </w:rPr>
        <w:t>Affairs</w:t>
      </w:r>
      <w:proofErr w:type="spellEnd"/>
      <w:r w:rsidRPr="00480C8B">
        <w:rPr>
          <w:rFonts w:ascii="Times New Roman" w:hAnsi="Times New Roman" w:cs="Times New Roman"/>
          <w:sz w:val="16"/>
          <w:szCs w:val="16"/>
        </w:rPr>
        <w:t xml:space="preserve">, </w:t>
      </w:r>
      <w:proofErr w:type="spellStart"/>
      <w:r w:rsidRPr="00480C8B">
        <w:rPr>
          <w:rFonts w:ascii="Times New Roman" w:hAnsi="Times New Roman" w:cs="Times New Roman"/>
          <w:sz w:val="16"/>
          <w:szCs w:val="16"/>
        </w:rPr>
        <w:t>Population</w:t>
      </w:r>
      <w:proofErr w:type="spellEnd"/>
      <w:r w:rsidRPr="00480C8B">
        <w:rPr>
          <w:rFonts w:ascii="Times New Roman" w:hAnsi="Times New Roman" w:cs="Times New Roman"/>
          <w:sz w:val="16"/>
          <w:szCs w:val="16"/>
        </w:rPr>
        <w:t xml:space="preserve"> </w:t>
      </w:r>
      <w:proofErr w:type="spellStart"/>
      <w:r w:rsidRPr="00480C8B">
        <w:rPr>
          <w:rFonts w:ascii="Times New Roman" w:hAnsi="Times New Roman" w:cs="Times New Roman"/>
          <w:sz w:val="16"/>
          <w:szCs w:val="16"/>
        </w:rPr>
        <w:t>Division</w:t>
      </w:r>
      <w:proofErr w:type="spellEnd"/>
      <w:r w:rsidRPr="00480C8B">
        <w:rPr>
          <w:rFonts w:ascii="Times New Roman" w:hAnsi="Times New Roman" w:cs="Times New Roman"/>
          <w:sz w:val="16"/>
          <w:szCs w:val="16"/>
        </w:rPr>
        <w:t xml:space="preserve">). (2022). </w:t>
      </w:r>
      <w:proofErr w:type="spellStart"/>
      <w:r w:rsidRPr="00480C8B">
        <w:rPr>
          <w:rFonts w:ascii="Times New Roman" w:hAnsi="Times New Roman" w:cs="Times New Roman"/>
          <w:sz w:val="16"/>
          <w:szCs w:val="16"/>
        </w:rPr>
        <w:t>World</w:t>
      </w:r>
      <w:proofErr w:type="spellEnd"/>
      <w:r w:rsidRPr="00480C8B">
        <w:rPr>
          <w:rFonts w:ascii="Times New Roman" w:hAnsi="Times New Roman" w:cs="Times New Roman"/>
          <w:sz w:val="16"/>
          <w:szCs w:val="16"/>
        </w:rPr>
        <w:t xml:space="preserve"> </w:t>
      </w:r>
      <w:proofErr w:type="spellStart"/>
      <w:r w:rsidRPr="00480C8B">
        <w:rPr>
          <w:rFonts w:ascii="Times New Roman" w:hAnsi="Times New Roman" w:cs="Times New Roman"/>
          <w:sz w:val="16"/>
          <w:szCs w:val="16"/>
        </w:rPr>
        <w:t>Population</w:t>
      </w:r>
      <w:proofErr w:type="spellEnd"/>
      <w:r w:rsidRPr="00480C8B">
        <w:rPr>
          <w:rFonts w:ascii="Times New Roman" w:hAnsi="Times New Roman" w:cs="Times New Roman"/>
          <w:sz w:val="16"/>
          <w:szCs w:val="16"/>
        </w:rPr>
        <w:t xml:space="preserve"> </w:t>
      </w:r>
      <w:proofErr w:type="spellStart"/>
      <w:r w:rsidRPr="00480C8B">
        <w:rPr>
          <w:rFonts w:ascii="Times New Roman" w:hAnsi="Times New Roman" w:cs="Times New Roman"/>
          <w:sz w:val="16"/>
          <w:szCs w:val="16"/>
        </w:rPr>
        <w:t>Prospects</w:t>
      </w:r>
      <w:proofErr w:type="spellEnd"/>
      <w:r w:rsidRPr="00480C8B">
        <w:rPr>
          <w:rFonts w:ascii="Times New Roman" w:hAnsi="Times New Roman" w:cs="Times New Roman"/>
          <w:sz w:val="16"/>
          <w:szCs w:val="16"/>
        </w:rPr>
        <w:t xml:space="preserve"> 2022: </w:t>
      </w:r>
      <w:proofErr w:type="spellStart"/>
      <w:r w:rsidRPr="00480C8B">
        <w:rPr>
          <w:rFonts w:ascii="Times New Roman" w:hAnsi="Times New Roman" w:cs="Times New Roman"/>
          <w:sz w:val="16"/>
          <w:szCs w:val="16"/>
        </w:rPr>
        <w:t>Summary</w:t>
      </w:r>
      <w:proofErr w:type="spellEnd"/>
      <w:r w:rsidRPr="00480C8B">
        <w:rPr>
          <w:rFonts w:ascii="Times New Roman" w:hAnsi="Times New Roman" w:cs="Times New Roman"/>
          <w:sz w:val="16"/>
          <w:szCs w:val="16"/>
        </w:rPr>
        <w:t xml:space="preserve"> </w:t>
      </w:r>
      <w:proofErr w:type="spellStart"/>
      <w:r w:rsidRPr="00480C8B">
        <w:rPr>
          <w:rFonts w:ascii="Times New Roman" w:hAnsi="Times New Roman" w:cs="Times New Roman"/>
          <w:sz w:val="16"/>
          <w:szCs w:val="16"/>
        </w:rPr>
        <w:t>of</w:t>
      </w:r>
      <w:proofErr w:type="spellEnd"/>
      <w:r w:rsidRPr="00480C8B">
        <w:rPr>
          <w:rFonts w:ascii="Times New Roman" w:hAnsi="Times New Roman" w:cs="Times New Roman"/>
          <w:sz w:val="16"/>
          <w:szCs w:val="16"/>
        </w:rPr>
        <w:t xml:space="preserve"> </w:t>
      </w:r>
      <w:proofErr w:type="spellStart"/>
      <w:r w:rsidRPr="00480C8B">
        <w:rPr>
          <w:rFonts w:ascii="Times New Roman" w:hAnsi="Times New Roman" w:cs="Times New Roman"/>
          <w:sz w:val="16"/>
          <w:szCs w:val="16"/>
        </w:rPr>
        <w:t>Results</w:t>
      </w:r>
      <w:proofErr w:type="spellEnd"/>
      <w:r w:rsidRPr="00480C8B">
        <w:rPr>
          <w:rFonts w:ascii="Times New Roman" w:hAnsi="Times New Roman" w:cs="Times New Roman"/>
          <w:sz w:val="16"/>
          <w:szCs w:val="16"/>
        </w:rPr>
        <w:t>. UN DESA/POP/2022/TR/NO. 3. https://www.un.org/development/desa/pd/sites/www.un.org.development.desa.pd/files/wpp2022_summary _of_results.pdf</w:t>
      </w:r>
    </w:p>
  </w:footnote>
  <w:footnote w:id="8">
    <w:p w14:paraId="76623CBC" w14:textId="77777777" w:rsidR="00E624F3" w:rsidRPr="00480C8B" w:rsidRDefault="00E624F3" w:rsidP="00E624F3">
      <w:pPr>
        <w:pStyle w:val="Puslapioinaostekstas"/>
        <w:rPr>
          <w:rFonts w:ascii="Times New Roman" w:hAnsi="Times New Roman" w:cs="Times New Roman"/>
          <w:sz w:val="16"/>
          <w:szCs w:val="16"/>
        </w:rPr>
      </w:pPr>
      <w:r w:rsidRPr="00480C8B">
        <w:rPr>
          <w:rStyle w:val="Puslapioinaosnuoroda"/>
          <w:rFonts w:ascii="Times New Roman" w:hAnsi="Times New Roman" w:cs="Times New Roman"/>
          <w:sz w:val="16"/>
          <w:szCs w:val="16"/>
        </w:rPr>
        <w:footnoteRef/>
      </w:r>
      <w:r w:rsidRPr="00480C8B">
        <w:rPr>
          <w:rFonts w:ascii="Times New Roman" w:hAnsi="Times New Roman" w:cs="Times New Roman"/>
          <w:sz w:val="16"/>
          <w:szCs w:val="16"/>
        </w:rPr>
        <w:t xml:space="preserve"> STRATA (2023). Demografinių iššūkių sprendimo galimybių studija. Vyriausybės strateginės analizės centras. https://lrv.lt/lt/lietuva-2050/metodologija-tyrimai-apzvalgos/temines-ataskaitos/</w:t>
      </w:r>
    </w:p>
  </w:footnote>
  <w:footnote w:id="9">
    <w:p w14:paraId="31C0FC52" w14:textId="77777777" w:rsidR="00E624F3" w:rsidRPr="00480C8B" w:rsidRDefault="00E624F3" w:rsidP="00E624F3">
      <w:pPr>
        <w:pStyle w:val="Puslapioinaostekstas"/>
        <w:rPr>
          <w:rFonts w:ascii="Times New Roman" w:hAnsi="Times New Roman" w:cs="Times New Roman"/>
          <w:sz w:val="16"/>
          <w:szCs w:val="16"/>
        </w:rPr>
      </w:pPr>
      <w:r w:rsidRPr="002F0487">
        <w:rPr>
          <w:rStyle w:val="Puslapioinaosnuoroda"/>
          <w:rFonts w:ascii="Times New Roman" w:hAnsi="Times New Roman" w:cs="Times New Roman"/>
          <w:sz w:val="16"/>
          <w:szCs w:val="16"/>
        </w:rPr>
        <w:footnoteRef/>
      </w:r>
      <w:r w:rsidRPr="002F0487">
        <w:rPr>
          <w:rFonts w:ascii="Times New Roman" w:hAnsi="Times New Roman" w:cs="Times New Roman"/>
          <w:sz w:val="16"/>
          <w:szCs w:val="16"/>
        </w:rPr>
        <w:t xml:space="preserve"> STRATA (2023). Demografinių iššūkių sprendimo galimybių studija. Vyriausybės strateginės analizės centras. https://lrv.lt/lt/lietuva-2050/metodologija-tyrimai-apzvalgos/temines-ataskaitos/</w:t>
      </w:r>
    </w:p>
  </w:footnote>
  <w:footnote w:id="10">
    <w:p w14:paraId="539CB1BA" w14:textId="77777777" w:rsidR="00E624F3" w:rsidRPr="00480C8B" w:rsidRDefault="00E624F3" w:rsidP="00E624F3">
      <w:pPr>
        <w:pStyle w:val="Puslapioinaostekstas"/>
        <w:rPr>
          <w:rFonts w:ascii="Times New Roman" w:hAnsi="Times New Roman" w:cs="Times New Roman"/>
          <w:sz w:val="16"/>
          <w:szCs w:val="16"/>
        </w:rPr>
      </w:pPr>
      <w:r w:rsidRPr="00480C8B">
        <w:rPr>
          <w:rStyle w:val="Puslapioinaosnuoroda"/>
          <w:rFonts w:ascii="Times New Roman" w:hAnsi="Times New Roman" w:cs="Times New Roman"/>
          <w:sz w:val="16"/>
          <w:szCs w:val="16"/>
        </w:rPr>
        <w:footnoteRef/>
      </w:r>
      <w:r w:rsidRPr="00480C8B">
        <w:rPr>
          <w:rFonts w:ascii="Times New Roman" w:hAnsi="Times New Roman" w:cs="Times New Roman"/>
          <w:sz w:val="16"/>
          <w:szCs w:val="16"/>
        </w:rPr>
        <w:t xml:space="preserve"> </w:t>
      </w:r>
      <w:proofErr w:type="spellStart"/>
      <w:r w:rsidRPr="00480C8B">
        <w:rPr>
          <w:rFonts w:ascii="Times New Roman" w:hAnsi="Times New Roman" w:cs="Times New Roman"/>
          <w:sz w:val="16"/>
          <w:szCs w:val="16"/>
        </w:rPr>
        <w:t>Eurostat</w:t>
      </w:r>
      <w:proofErr w:type="spellEnd"/>
      <w:r w:rsidRPr="00480C8B">
        <w:rPr>
          <w:rFonts w:ascii="Times New Roman" w:hAnsi="Times New Roman" w:cs="Times New Roman"/>
          <w:sz w:val="16"/>
          <w:szCs w:val="16"/>
        </w:rPr>
        <w:t xml:space="preserve">. (2022). </w:t>
      </w:r>
      <w:proofErr w:type="spellStart"/>
      <w:r w:rsidRPr="00480C8B">
        <w:rPr>
          <w:rFonts w:ascii="Times New Roman" w:hAnsi="Times New Roman" w:cs="Times New Roman"/>
          <w:sz w:val="16"/>
          <w:szCs w:val="16"/>
        </w:rPr>
        <w:t>Eurostat</w:t>
      </w:r>
      <w:proofErr w:type="spellEnd"/>
      <w:r w:rsidRPr="00480C8B">
        <w:rPr>
          <w:rFonts w:ascii="Times New Roman" w:hAnsi="Times New Roman" w:cs="Times New Roman"/>
          <w:sz w:val="16"/>
          <w:szCs w:val="16"/>
        </w:rPr>
        <w:t xml:space="preserve"> </w:t>
      </w:r>
      <w:proofErr w:type="spellStart"/>
      <w:r w:rsidRPr="00480C8B">
        <w:rPr>
          <w:rFonts w:ascii="Times New Roman" w:hAnsi="Times New Roman" w:cs="Times New Roman"/>
          <w:sz w:val="16"/>
          <w:szCs w:val="16"/>
        </w:rPr>
        <w:t>Database</w:t>
      </w:r>
      <w:proofErr w:type="spellEnd"/>
      <w:r w:rsidRPr="00480C8B">
        <w:rPr>
          <w:rFonts w:ascii="Times New Roman" w:hAnsi="Times New Roman" w:cs="Times New Roman"/>
          <w:sz w:val="16"/>
          <w:szCs w:val="16"/>
        </w:rPr>
        <w:t>. Interneto prieiga: https://ec.europa.eu/eurostat/data/database</w:t>
      </w:r>
    </w:p>
  </w:footnote>
  <w:footnote w:id="11">
    <w:p w14:paraId="3D5B018A" w14:textId="77777777" w:rsidR="00E624F3" w:rsidRPr="00480C8B" w:rsidRDefault="00E624F3" w:rsidP="00E624F3">
      <w:pPr>
        <w:rPr>
          <w:sz w:val="16"/>
          <w:szCs w:val="16"/>
        </w:rPr>
      </w:pPr>
      <w:r w:rsidRPr="00480C8B">
        <w:rPr>
          <w:rStyle w:val="Puslapioinaosnuoroda"/>
          <w:sz w:val="16"/>
          <w:szCs w:val="16"/>
        </w:rPr>
        <w:footnoteRef/>
      </w:r>
      <w:r w:rsidRPr="00480C8B">
        <w:rPr>
          <w:sz w:val="16"/>
          <w:szCs w:val="16"/>
        </w:rPr>
        <w:t xml:space="preserve"> WHO (2022). </w:t>
      </w:r>
      <w:proofErr w:type="spellStart"/>
      <w:r w:rsidRPr="00480C8B">
        <w:rPr>
          <w:sz w:val="16"/>
          <w:szCs w:val="16"/>
        </w:rPr>
        <w:t>European</w:t>
      </w:r>
      <w:proofErr w:type="spellEnd"/>
      <w:r w:rsidRPr="00480C8B">
        <w:rPr>
          <w:sz w:val="16"/>
          <w:szCs w:val="16"/>
        </w:rPr>
        <w:t xml:space="preserve"> </w:t>
      </w:r>
      <w:proofErr w:type="spellStart"/>
      <w:r w:rsidRPr="00480C8B">
        <w:rPr>
          <w:sz w:val="16"/>
          <w:szCs w:val="16"/>
        </w:rPr>
        <w:t>Health</w:t>
      </w:r>
      <w:proofErr w:type="spellEnd"/>
      <w:r w:rsidRPr="00480C8B">
        <w:rPr>
          <w:sz w:val="16"/>
          <w:szCs w:val="16"/>
        </w:rPr>
        <w:t xml:space="preserve"> </w:t>
      </w:r>
      <w:proofErr w:type="spellStart"/>
      <w:r w:rsidRPr="00480C8B">
        <w:rPr>
          <w:sz w:val="16"/>
          <w:szCs w:val="16"/>
        </w:rPr>
        <w:t>for</w:t>
      </w:r>
      <w:proofErr w:type="spellEnd"/>
      <w:r w:rsidRPr="00480C8B">
        <w:rPr>
          <w:sz w:val="16"/>
          <w:szCs w:val="16"/>
        </w:rPr>
        <w:t xml:space="preserve"> </w:t>
      </w:r>
      <w:proofErr w:type="spellStart"/>
      <w:r w:rsidRPr="00480C8B">
        <w:rPr>
          <w:sz w:val="16"/>
          <w:szCs w:val="16"/>
        </w:rPr>
        <w:t>All</w:t>
      </w:r>
      <w:proofErr w:type="spellEnd"/>
      <w:r w:rsidRPr="00480C8B">
        <w:rPr>
          <w:sz w:val="16"/>
          <w:szCs w:val="16"/>
        </w:rPr>
        <w:t xml:space="preserve"> </w:t>
      </w:r>
      <w:proofErr w:type="spellStart"/>
      <w:r w:rsidRPr="00480C8B">
        <w:rPr>
          <w:sz w:val="16"/>
          <w:szCs w:val="16"/>
        </w:rPr>
        <w:t>database</w:t>
      </w:r>
      <w:proofErr w:type="spellEnd"/>
      <w:r w:rsidRPr="00480C8B">
        <w:rPr>
          <w:sz w:val="16"/>
          <w:szCs w:val="16"/>
        </w:rPr>
        <w:t xml:space="preserve"> (HFA-DB). Interneto prieiga: </w:t>
      </w:r>
      <w:hyperlink r:id="rId3" w:history="1">
        <w:r w:rsidRPr="00480C8B">
          <w:rPr>
            <w:rStyle w:val="Hipersaitas"/>
            <w:sz w:val="16"/>
            <w:szCs w:val="16"/>
          </w:rPr>
          <w:t>https://gateway.euro.who.int/en/datasets/european-health-for-all-database/</w:t>
        </w:r>
      </w:hyperlink>
    </w:p>
  </w:footnote>
  <w:footnote w:id="12">
    <w:p w14:paraId="6756E438" w14:textId="77777777" w:rsidR="00E624F3" w:rsidRPr="00480C8B" w:rsidRDefault="00E624F3" w:rsidP="00E624F3">
      <w:pPr>
        <w:pStyle w:val="Puslapioinaostekstas"/>
        <w:rPr>
          <w:rFonts w:ascii="Times New Roman" w:hAnsi="Times New Roman" w:cs="Times New Roman"/>
          <w:sz w:val="16"/>
          <w:szCs w:val="16"/>
        </w:rPr>
      </w:pPr>
      <w:r w:rsidRPr="00480C8B">
        <w:rPr>
          <w:rStyle w:val="Puslapioinaosnuoroda"/>
          <w:rFonts w:ascii="Times New Roman" w:hAnsi="Times New Roman" w:cs="Times New Roman"/>
          <w:sz w:val="16"/>
          <w:szCs w:val="16"/>
        </w:rPr>
        <w:footnoteRef/>
      </w:r>
      <w:r w:rsidRPr="00480C8B">
        <w:rPr>
          <w:rFonts w:ascii="Times New Roman" w:hAnsi="Times New Roman" w:cs="Times New Roman"/>
          <w:sz w:val="16"/>
          <w:szCs w:val="16"/>
        </w:rPr>
        <w:t xml:space="preserve"> </w:t>
      </w:r>
      <w:proofErr w:type="spellStart"/>
      <w:r w:rsidRPr="00480C8B">
        <w:rPr>
          <w:rFonts w:ascii="Times New Roman" w:hAnsi="Times New Roman" w:cs="Times New Roman"/>
          <w:sz w:val="16"/>
          <w:szCs w:val="16"/>
        </w:rPr>
        <w:t>Juozulynas</w:t>
      </w:r>
      <w:proofErr w:type="spellEnd"/>
      <w:r w:rsidRPr="00480C8B">
        <w:rPr>
          <w:rFonts w:ascii="Times New Roman" w:hAnsi="Times New Roman" w:cs="Times New Roman"/>
          <w:sz w:val="16"/>
          <w:szCs w:val="16"/>
        </w:rPr>
        <w:t xml:space="preserve"> A.; </w:t>
      </w:r>
      <w:proofErr w:type="spellStart"/>
      <w:r w:rsidRPr="00480C8B">
        <w:rPr>
          <w:rFonts w:ascii="Times New Roman" w:hAnsi="Times New Roman" w:cs="Times New Roman"/>
          <w:sz w:val="16"/>
          <w:szCs w:val="16"/>
        </w:rPr>
        <w:t>Jurgelėnas</w:t>
      </w:r>
      <w:proofErr w:type="spellEnd"/>
      <w:r w:rsidRPr="00480C8B">
        <w:rPr>
          <w:rFonts w:ascii="Times New Roman" w:hAnsi="Times New Roman" w:cs="Times New Roman"/>
          <w:sz w:val="16"/>
          <w:szCs w:val="16"/>
        </w:rPr>
        <w:t xml:space="preserve"> A.; Filipavičiūtė R.; Butkienė B.; Alekna V.; Savičiūtė R. Gyvenimo kokybės prognozavimo galimybė senstančioje visuomenėje // Gerontologija. 2010; 11(3), p. 141–147.</w:t>
      </w:r>
    </w:p>
  </w:footnote>
  <w:footnote w:id="13">
    <w:p w14:paraId="0B7E376D" w14:textId="77777777" w:rsidR="00E624F3" w:rsidRDefault="00E624F3" w:rsidP="00E624F3">
      <w:pPr>
        <w:pStyle w:val="prastasiniatinklio"/>
        <w:shd w:val="clear" w:color="auto" w:fill="FFFFFF"/>
        <w:spacing w:before="0" w:after="0"/>
      </w:pPr>
      <w:r w:rsidRPr="00480C8B">
        <w:rPr>
          <w:rStyle w:val="Puslapioinaosnuoroda"/>
          <w:sz w:val="16"/>
          <w:szCs w:val="16"/>
        </w:rPr>
        <w:footnoteRef/>
      </w:r>
      <w:r w:rsidRPr="00480C8B">
        <w:rPr>
          <w:sz w:val="16"/>
          <w:szCs w:val="16"/>
        </w:rPr>
        <w:t xml:space="preserve"> Senstanti Lietuvos visuomenė: analitinė apžvalga, Vyriausybės strateginės analizės centras, 2020 Prieiga per internetą https://strata.gov.lt/images/tyrimai/2020-metai/zmogiskojo-kapitalo-politika/20200924-senstanti-lietuvos-visuomene.pdf</w:t>
      </w:r>
    </w:p>
  </w:footnote>
  <w:footnote w:id="14">
    <w:p w14:paraId="0421067A" w14:textId="77777777" w:rsidR="00E624F3" w:rsidRDefault="00E624F3" w:rsidP="00E624F3">
      <w:pPr>
        <w:pStyle w:val="prastasiniatinklio"/>
        <w:shd w:val="clear" w:color="auto" w:fill="FFFFFF"/>
        <w:spacing w:before="0" w:after="0"/>
      </w:pPr>
      <w:r w:rsidRPr="00480C8B">
        <w:rPr>
          <w:rStyle w:val="Puslapioinaosnuoroda"/>
          <w:sz w:val="16"/>
          <w:szCs w:val="16"/>
        </w:rPr>
        <w:footnoteRef/>
      </w:r>
      <w:r w:rsidRPr="00480C8B">
        <w:rPr>
          <w:sz w:val="16"/>
          <w:szCs w:val="16"/>
        </w:rPr>
        <w:t xml:space="preserve"> Valstybės duomenų agentūra. Gyventojai, sergantys lėtine liga ar turintys ilgalaikių sveikatos sutrikimų (proc.). (Vėlesnių metų duomenys nepateikiami) https://osp.stat.gov.lt/statistiniu-rodikliu-analize?indicator=S3R0325#/</w:t>
      </w:r>
    </w:p>
  </w:footnote>
  <w:footnote w:id="15">
    <w:p w14:paraId="02021A71" w14:textId="77777777" w:rsidR="00E624F3" w:rsidRPr="003735C0" w:rsidRDefault="00E624F3" w:rsidP="00E624F3">
      <w:pPr>
        <w:pStyle w:val="Nrdata"/>
        <w:jc w:val="left"/>
        <w:rPr>
          <w:rFonts w:ascii="Times New Roman" w:hAnsi="Times New Roman"/>
          <w:sz w:val="16"/>
          <w:szCs w:val="16"/>
          <w:lang w:val="lt-LT"/>
        </w:rPr>
      </w:pPr>
      <w:r w:rsidRPr="00480C8B">
        <w:rPr>
          <w:rStyle w:val="Puslapioinaosnuoroda"/>
          <w:rFonts w:ascii="Times New Roman" w:hAnsi="Times New Roman"/>
          <w:sz w:val="16"/>
          <w:szCs w:val="16"/>
        </w:rPr>
        <w:footnoteRef/>
      </w:r>
      <w:r w:rsidRPr="003735C0">
        <w:rPr>
          <w:rFonts w:ascii="Times New Roman" w:hAnsi="Times New Roman"/>
          <w:sz w:val="16"/>
          <w:szCs w:val="16"/>
          <w:lang w:val="lt-LT"/>
        </w:rPr>
        <w:t xml:space="preserve"> </w:t>
      </w:r>
      <w:r w:rsidRPr="00480C8B">
        <w:rPr>
          <w:rFonts w:ascii="Times New Roman" w:hAnsi="Times New Roman"/>
          <w:sz w:val="16"/>
          <w:szCs w:val="16"/>
          <w:lang w:val="lt-LT"/>
        </w:rPr>
        <w:t xml:space="preserve">2023 m. birželio 23 d. Informacinis pranešimas „Socialinės paslaugos 2022 m.“,  Valstybės duomenų agentūra </w:t>
      </w:r>
    </w:p>
    <w:p w14:paraId="25BD034C" w14:textId="77777777" w:rsidR="00E624F3" w:rsidRDefault="00E624F3" w:rsidP="00E624F3">
      <w:pPr>
        <w:pStyle w:val="Puslapioinaostekstas"/>
      </w:pPr>
    </w:p>
  </w:footnote>
  <w:footnote w:id="16">
    <w:p w14:paraId="09E8FAD6" w14:textId="77777777" w:rsidR="00E624F3" w:rsidRPr="008A71FF" w:rsidRDefault="00E624F3" w:rsidP="00E624F3">
      <w:pPr>
        <w:rPr>
          <w:sz w:val="16"/>
          <w:szCs w:val="16"/>
        </w:rPr>
      </w:pPr>
      <w:r w:rsidRPr="00B871BC">
        <w:rPr>
          <w:rStyle w:val="Puslapioinaosnuoroda"/>
          <w:sz w:val="16"/>
          <w:szCs w:val="16"/>
        </w:rPr>
        <w:footnoteRef/>
      </w:r>
      <w:r w:rsidRPr="00B871BC">
        <w:rPr>
          <w:sz w:val="16"/>
          <w:szCs w:val="16"/>
        </w:rPr>
        <w:t xml:space="preserve"> </w:t>
      </w:r>
      <w:r w:rsidRPr="00B871BC">
        <w:rPr>
          <w:color w:val="000000" w:themeColor="text1"/>
          <w:sz w:val="16"/>
          <w:szCs w:val="16"/>
        </w:rPr>
        <w:t xml:space="preserve"> </w:t>
      </w:r>
      <w:r w:rsidRPr="008A71FF">
        <w:rPr>
          <w:color w:val="000000"/>
          <w:sz w:val="16"/>
          <w:szCs w:val="16"/>
        </w:rPr>
        <w:t xml:space="preserve">Senyvo amžiaus asmuo – sukakęs senatvės pensijos amžių asmuo, kuris dėl amžiaus iš dalies ar visiškai yra netekęs gebėjimų savarankiškai rūpintis asmeniniu (šeimos) gyvenimu ir dalyvauti visuomenės gyvenime. </w:t>
      </w:r>
      <w:r w:rsidRPr="008A71FF">
        <w:rPr>
          <w:color w:val="333333"/>
          <w:sz w:val="16"/>
          <w:szCs w:val="16"/>
          <w:shd w:val="clear" w:color="auto" w:fill="FFFFFF"/>
        </w:rPr>
        <w:t>Lietuvos Respublikos socialinių paslaugų įstatymas</w:t>
      </w:r>
    </w:p>
    <w:p w14:paraId="49EB8ADB" w14:textId="77777777" w:rsidR="00E624F3" w:rsidRDefault="00E624F3" w:rsidP="00E624F3">
      <w:pPr>
        <w:widowControl w:val="0"/>
        <w:tabs>
          <w:tab w:val="left" w:pos="0"/>
          <w:tab w:val="left" w:pos="1134"/>
        </w:tabs>
        <w:jc w:val="both"/>
      </w:pPr>
      <w:r w:rsidRPr="008A71FF">
        <w:rPr>
          <w:color w:val="000000"/>
          <w:sz w:val="16"/>
          <w:szCs w:val="16"/>
        </w:rPr>
        <w:t>https://e-seimas.lrs.lt/portal/legalAct/lt/TAD/TAIS.270342/asr</w:t>
      </w:r>
      <w:r w:rsidRPr="008A71FF">
        <w:rPr>
          <w:color w:val="000000" w:themeColor="text1"/>
          <w:sz w:val="16"/>
          <w:szCs w:val="16"/>
        </w:rPr>
        <w:t>.</w:t>
      </w:r>
    </w:p>
  </w:footnote>
  <w:footnote w:id="17">
    <w:p w14:paraId="6C3AC65A" w14:textId="77777777" w:rsidR="00E624F3" w:rsidRPr="000C10C0" w:rsidRDefault="00E624F3" w:rsidP="00E624F3">
      <w:pPr>
        <w:rPr>
          <w:color w:val="000000"/>
          <w:sz w:val="16"/>
          <w:szCs w:val="16"/>
          <w:lang w:eastAsia="lt-LT"/>
        </w:rPr>
      </w:pPr>
      <w:r w:rsidRPr="000B004B">
        <w:rPr>
          <w:rStyle w:val="Puslapioinaosnuoroda"/>
          <w:sz w:val="16"/>
          <w:szCs w:val="16"/>
        </w:rPr>
        <w:footnoteRef/>
      </w:r>
      <w:r w:rsidRPr="000B004B">
        <w:rPr>
          <w:sz w:val="16"/>
          <w:szCs w:val="16"/>
        </w:rPr>
        <w:t xml:space="preserve"> </w:t>
      </w:r>
      <w:r w:rsidRPr="000C10C0">
        <w:rPr>
          <w:color w:val="000000"/>
          <w:sz w:val="16"/>
          <w:szCs w:val="16"/>
        </w:rPr>
        <w:t>Lietuvos Respublikos s</w:t>
      </w:r>
      <w:r w:rsidRPr="000C10C0">
        <w:rPr>
          <w:color w:val="000000" w:themeColor="text1"/>
          <w:sz w:val="16"/>
          <w:szCs w:val="16"/>
          <w:shd w:val="clear" w:color="auto" w:fill="FFFFFF"/>
        </w:rPr>
        <w:t xml:space="preserve">veikatos apsaugos ir </w:t>
      </w:r>
      <w:r w:rsidRPr="000C10C0">
        <w:rPr>
          <w:color w:val="000000"/>
          <w:sz w:val="16"/>
          <w:szCs w:val="16"/>
        </w:rPr>
        <w:t>Lietuvos Respublikos  s</w:t>
      </w:r>
      <w:r w:rsidRPr="000C10C0">
        <w:rPr>
          <w:color w:val="000000" w:themeColor="text1"/>
          <w:sz w:val="16"/>
          <w:szCs w:val="16"/>
          <w:shd w:val="clear" w:color="auto" w:fill="FFFFFF"/>
        </w:rPr>
        <w:t xml:space="preserve">ocialinės apsaugos ir darbo ministrų </w:t>
      </w:r>
      <w:r w:rsidRPr="000C10C0">
        <w:rPr>
          <w:color w:val="000000" w:themeColor="text1"/>
          <w:sz w:val="16"/>
          <w:szCs w:val="16"/>
        </w:rPr>
        <w:t>2023 m. liepos 21 d.</w:t>
      </w:r>
      <w:r w:rsidRPr="000C10C0">
        <w:rPr>
          <w:color w:val="000000" w:themeColor="text1"/>
          <w:sz w:val="16"/>
          <w:szCs w:val="16"/>
          <w:shd w:val="clear" w:color="auto" w:fill="FFFFFF"/>
        </w:rPr>
        <w:t xml:space="preserve"> </w:t>
      </w:r>
      <w:r w:rsidRPr="000C10C0">
        <w:rPr>
          <w:color w:val="000000" w:themeColor="text1"/>
          <w:sz w:val="16"/>
          <w:szCs w:val="16"/>
        </w:rPr>
        <w:t xml:space="preserve">įsakymas Nr. A1-492/V-836 </w:t>
      </w:r>
      <w:r w:rsidRPr="000C10C0">
        <w:rPr>
          <w:color w:val="000000"/>
          <w:sz w:val="16"/>
          <w:szCs w:val="16"/>
          <w:lang w:eastAsia="lt-LT"/>
        </w:rPr>
        <w:t>„Dėl ilgalaikės priežiūros paslaugų teikimo tvarkos aprašo ir ilgalaikės priežiūros paslaugų teikimo pagrindų kvalifikacijos tobulinimo programos turinio gairių patvirtinimo“</w:t>
      </w:r>
      <w:r w:rsidRPr="000C10C0">
        <w:t xml:space="preserve"> </w:t>
      </w:r>
      <w:r w:rsidRPr="000C10C0">
        <w:rPr>
          <w:color w:val="000000"/>
          <w:sz w:val="16"/>
          <w:szCs w:val="16"/>
          <w:lang w:eastAsia="lt-LT"/>
        </w:rPr>
        <w:t>https://e-seimas.lrs.lt/portal/legalAct/lt/TAD/00100e2027ff11eea0b6cad9848a9596</w:t>
      </w:r>
    </w:p>
    <w:p w14:paraId="25D85FE3" w14:textId="77777777" w:rsidR="00E624F3" w:rsidRDefault="00E624F3" w:rsidP="00E624F3">
      <w:pPr>
        <w:pStyle w:val="Puslapioinaostekstas"/>
      </w:pPr>
    </w:p>
  </w:footnote>
  <w:footnote w:id="18">
    <w:p w14:paraId="511E42E1" w14:textId="77777777" w:rsidR="00F7465C" w:rsidRPr="00583084" w:rsidRDefault="00F7465C" w:rsidP="00F7465C">
      <w:pPr>
        <w:jc w:val="both"/>
        <w:rPr>
          <w:sz w:val="16"/>
          <w:szCs w:val="16"/>
        </w:rPr>
      </w:pPr>
      <w:r w:rsidRPr="00583084">
        <w:rPr>
          <w:rStyle w:val="Puslapioinaosnuoroda"/>
          <w:sz w:val="16"/>
          <w:szCs w:val="16"/>
        </w:rPr>
        <w:footnoteRef/>
      </w:r>
      <w:r w:rsidRPr="00583084">
        <w:rPr>
          <w:sz w:val="16"/>
          <w:szCs w:val="16"/>
        </w:rPr>
        <w:t xml:space="preserve"> </w:t>
      </w:r>
      <w:r w:rsidRPr="00583084">
        <w:rPr>
          <w:rFonts w:eastAsia="Calibri"/>
          <w:sz w:val="16"/>
          <w:szCs w:val="16"/>
        </w:rPr>
        <w:t xml:space="preserve">Aštuonioliktos Lietuvos Respublikos Vyriausybės programa, patvirtinta Lietuvos Respublikos Seimo 2021 m. gruodžio 11 d. nutarimu </w:t>
      </w:r>
      <w:r w:rsidRPr="00583084">
        <w:rPr>
          <w:rFonts w:eastAsia="Calibri"/>
          <w:color w:val="000000" w:themeColor="text1"/>
          <w:sz w:val="16"/>
          <w:szCs w:val="16"/>
        </w:rPr>
        <w:t xml:space="preserve">Nr. XIV-72 „Dėl Aštuonioliktos Lietuvos Respublikos Vyriausybės programos </w:t>
      </w:r>
      <w:hyperlink r:id="rId4">
        <w:r w:rsidRPr="00583084">
          <w:rPr>
            <w:rStyle w:val="Hipersaitas"/>
            <w:rFonts w:eastAsia="Calibri"/>
            <w:sz w:val="16"/>
            <w:szCs w:val="16"/>
          </w:rPr>
          <w:t>https://e-seimas.lrs.lt/portal/legalAct/lt/TAD/973c87403bc311eb8c97e01ffe050e1c</w:t>
        </w:r>
      </w:hyperlink>
    </w:p>
  </w:footnote>
  <w:footnote w:id="19">
    <w:p w14:paraId="10F8953F" w14:textId="77777777" w:rsidR="00F7465C" w:rsidRPr="00583084" w:rsidRDefault="00F7465C" w:rsidP="00F7465C">
      <w:pPr>
        <w:tabs>
          <w:tab w:val="left" w:pos="9356"/>
        </w:tabs>
        <w:ind w:right="-1"/>
        <w:rPr>
          <w:sz w:val="16"/>
          <w:szCs w:val="16"/>
        </w:rPr>
      </w:pPr>
      <w:r w:rsidRPr="00583084">
        <w:rPr>
          <w:rStyle w:val="Puslapioinaosnuoroda"/>
          <w:sz w:val="16"/>
          <w:szCs w:val="16"/>
        </w:rPr>
        <w:footnoteRef/>
      </w:r>
      <w:r w:rsidRPr="00583084">
        <w:rPr>
          <w:sz w:val="16"/>
          <w:szCs w:val="16"/>
        </w:rPr>
        <w:t xml:space="preserve"> </w:t>
      </w:r>
      <w:r w:rsidRPr="00583084">
        <w:rPr>
          <w:color w:val="000000"/>
          <w:sz w:val="16"/>
          <w:szCs w:val="16"/>
        </w:rPr>
        <w:t xml:space="preserve">Lietuvos Respublikos socialinės apsaugos ir darbo ministro </w:t>
      </w:r>
      <w:r w:rsidRPr="00583084">
        <w:rPr>
          <w:sz w:val="16"/>
          <w:szCs w:val="16"/>
        </w:rPr>
        <w:t xml:space="preserve">2007 m. vasario 20 d. </w:t>
      </w:r>
      <w:r w:rsidRPr="00583084">
        <w:rPr>
          <w:color w:val="000000"/>
          <w:sz w:val="16"/>
          <w:szCs w:val="16"/>
        </w:rPr>
        <w:t>įsakymas</w:t>
      </w:r>
      <w:r w:rsidRPr="00583084">
        <w:rPr>
          <w:sz w:val="16"/>
          <w:szCs w:val="16"/>
        </w:rPr>
        <w:t xml:space="preserve"> Nr. A1-46 „Dėl socialinės globos normų aprašo patvirtinimo“ https://e-seimas.lrs.lt/portal/legalAct/lt/TAD/TAIS.292682/asr</w:t>
      </w:r>
    </w:p>
  </w:footnote>
  <w:footnote w:id="20">
    <w:p w14:paraId="2B824DC2" w14:textId="77777777" w:rsidR="00F7465C" w:rsidRPr="00583084" w:rsidRDefault="00F7465C" w:rsidP="00F7465C">
      <w:pPr>
        <w:tabs>
          <w:tab w:val="left" w:pos="9356"/>
        </w:tabs>
        <w:ind w:right="-1"/>
        <w:rPr>
          <w:sz w:val="16"/>
          <w:szCs w:val="16"/>
        </w:rPr>
      </w:pPr>
      <w:r w:rsidRPr="00583084">
        <w:rPr>
          <w:rStyle w:val="Puslapioinaosnuoroda"/>
          <w:sz w:val="16"/>
          <w:szCs w:val="16"/>
        </w:rPr>
        <w:footnoteRef/>
      </w:r>
      <w:r w:rsidRPr="00583084">
        <w:rPr>
          <w:sz w:val="16"/>
          <w:szCs w:val="16"/>
        </w:rPr>
        <w:t xml:space="preserve"> </w:t>
      </w:r>
      <w:r w:rsidRPr="00583084">
        <w:rPr>
          <w:color w:val="000000"/>
          <w:sz w:val="16"/>
          <w:szCs w:val="16"/>
        </w:rPr>
        <w:t xml:space="preserve">Lietuvos Respublikos socialinės apsaugos ir darbo ministro </w:t>
      </w:r>
      <w:r w:rsidRPr="00583084">
        <w:rPr>
          <w:sz w:val="16"/>
          <w:szCs w:val="16"/>
        </w:rPr>
        <w:t xml:space="preserve">2007 m. vasario 20 d. </w:t>
      </w:r>
      <w:r w:rsidRPr="00583084">
        <w:rPr>
          <w:color w:val="000000"/>
          <w:sz w:val="16"/>
          <w:szCs w:val="16"/>
        </w:rPr>
        <w:t>įsakymas</w:t>
      </w:r>
      <w:r w:rsidRPr="00583084">
        <w:rPr>
          <w:sz w:val="16"/>
          <w:szCs w:val="16"/>
        </w:rPr>
        <w:t xml:space="preserve"> Nr. A1-46 „Dėl socialinės globos normų aprašo patvirtinimo“ https://e-seimas.lrs.lt/portal/legalAct/lt/TAD/TAIS.292682/asr</w:t>
      </w:r>
    </w:p>
  </w:footnote>
  <w:footnote w:id="21">
    <w:p w14:paraId="40EDC3F9" w14:textId="77777777" w:rsidR="00F7465C" w:rsidRPr="00583084" w:rsidRDefault="00F7465C" w:rsidP="00F7465C">
      <w:pPr>
        <w:pStyle w:val="Puslapioinaostekstas"/>
        <w:rPr>
          <w:rFonts w:ascii="Times New Roman" w:hAnsi="Times New Roman" w:cs="Times New Roman"/>
          <w:sz w:val="16"/>
          <w:szCs w:val="16"/>
        </w:rPr>
      </w:pPr>
      <w:r w:rsidRPr="00583084">
        <w:rPr>
          <w:rStyle w:val="Puslapioinaosnuoroda"/>
          <w:rFonts w:ascii="Times New Roman" w:hAnsi="Times New Roman" w:cs="Times New Roman"/>
          <w:sz w:val="16"/>
          <w:szCs w:val="16"/>
        </w:rPr>
        <w:footnoteRef/>
      </w:r>
      <w:r w:rsidRPr="00583084">
        <w:rPr>
          <w:rFonts w:ascii="Times New Roman" w:hAnsi="Times New Roman" w:cs="Times New Roman"/>
          <w:sz w:val="16"/>
          <w:szCs w:val="16"/>
        </w:rPr>
        <w:t xml:space="preserve">  65 metų ir vyresnių asmenų demografinių prognostinių scenarijų 2030 ir 2035 metams Lietuvos savivaldybėse studija, 2023 m.  </w:t>
      </w:r>
      <w:hyperlink r:id="rId5" w:history="1">
        <w:r w:rsidRPr="00583084">
          <w:rPr>
            <w:rStyle w:val="Hipersaitas"/>
            <w:rFonts w:ascii="Times New Roman" w:hAnsi="Times New Roman" w:cs="Times New Roman"/>
            <w:sz w:val="16"/>
            <w:szCs w:val="16"/>
          </w:rPr>
          <w:t>https://socmin.lrv.lt/lt/veiklos-sritys/tyrimai/ministerijos-uzsakymu</w:t>
        </w:r>
      </w:hyperlink>
    </w:p>
    <w:p w14:paraId="7C83FFA5" w14:textId="77777777" w:rsidR="00F7465C" w:rsidRDefault="00F7465C" w:rsidP="00F7465C">
      <w:pPr>
        <w:pStyle w:val="Puslapioinaostekstas"/>
      </w:pPr>
    </w:p>
  </w:footnote>
  <w:footnote w:id="22">
    <w:p w14:paraId="66E739A4" w14:textId="77777777" w:rsidR="001B53B0" w:rsidRPr="0021309B" w:rsidRDefault="001B53B0" w:rsidP="001B53B0">
      <w:pPr>
        <w:tabs>
          <w:tab w:val="left" w:pos="9356"/>
        </w:tabs>
        <w:ind w:right="-1"/>
        <w:rPr>
          <w:sz w:val="16"/>
          <w:szCs w:val="16"/>
        </w:rPr>
      </w:pPr>
      <w:r w:rsidRPr="0021309B">
        <w:rPr>
          <w:rStyle w:val="Puslapioinaosnuoroda"/>
          <w:sz w:val="16"/>
          <w:szCs w:val="16"/>
        </w:rPr>
        <w:footnoteRef/>
      </w:r>
      <w:r w:rsidRPr="0021309B">
        <w:rPr>
          <w:sz w:val="16"/>
          <w:szCs w:val="16"/>
        </w:rPr>
        <w:t xml:space="preserve"> </w:t>
      </w:r>
      <w:r w:rsidRPr="0021309B">
        <w:rPr>
          <w:color w:val="000000"/>
          <w:sz w:val="16"/>
          <w:szCs w:val="16"/>
        </w:rPr>
        <w:t xml:space="preserve">Lietuvos Respublikos socialinės apsaugos ir darbo ministro </w:t>
      </w:r>
      <w:r w:rsidRPr="0021309B">
        <w:rPr>
          <w:sz w:val="16"/>
          <w:szCs w:val="16"/>
        </w:rPr>
        <w:t xml:space="preserve">2007 m. vasario 20 d. </w:t>
      </w:r>
      <w:r w:rsidRPr="0021309B">
        <w:rPr>
          <w:color w:val="000000"/>
          <w:sz w:val="16"/>
          <w:szCs w:val="16"/>
        </w:rPr>
        <w:t>įsakymas</w:t>
      </w:r>
      <w:r w:rsidRPr="0021309B">
        <w:rPr>
          <w:sz w:val="16"/>
          <w:szCs w:val="16"/>
        </w:rPr>
        <w:t xml:space="preserve"> Nr. A1-46 „Dėl socialinės globos normų aprašo patvirtinimo“ https://e-seimas.lrs.lt/portal/legalAct/lt/TAD/TAIS.292682/asr</w:t>
      </w:r>
    </w:p>
  </w:footnote>
  <w:footnote w:id="23">
    <w:p w14:paraId="4F9B45DC" w14:textId="77777777" w:rsidR="001B53B0" w:rsidRPr="0021309B" w:rsidRDefault="001B53B0" w:rsidP="001B53B0">
      <w:pPr>
        <w:jc w:val="both"/>
        <w:rPr>
          <w:color w:val="1155CC"/>
          <w:sz w:val="16"/>
          <w:szCs w:val="16"/>
          <w:u w:val="single"/>
        </w:rPr>
      </w:pPr>
      <w:r w:rsidRPr="0021309B">
        <w:rPr>
          <w:rStyle w:val="Puslapioinaosnuoroda"/>
          <w:sz w:val="16"/>
          <w:szCs w:val="16"/>
        </w:rPr>
        <w:footnoteRef/>
      </w:r>
      <w:r w:rsidRPr="0021309B">
        <w:rPr>
          <w:sz w:val="16"/>
          <w:szCs w:val="16"/>
        </w:rPr>
        <w:t xml:space="preserve"> </w:t>
      </w:r>
      <w:proofErr w:type="spellStart"/>
      <w:r w:rsidRPr="0021309B">
        <w:rPr>
          <w:sz w:val="16"/>
          <w:szCs w:val="16"/>
        </w:rPr>
        <w:t>World</w:t>
      </w:r>
      <w:proofErr w:type="spellEnd"/>
      <w:r w:rsidRPr="0021309B">
        <w:rPr>
          <w:sz w:val="16"/>
          <w:szCs w:val="16"/>
        </w:rPr>
        <w:t xml:space="preserve"> </w:t>
      </w:r>
      <w:proofErr w:type="spellStart"/>
      <w:r w:rsidRPr="0021309B">
        <w:rPr>
          <w:sz w:val="16"/>
          <w:szCs w:val="16"/>
        </w:rPr>
        <w:t>Alzheimer</w:t>
      </w:r>
      <w:proofErr w:type="spellEnd"/>
      <w:r w:rsidRPr="0021309B">
        <w:rPr>
          <w:sz w:val="16"/>
          <w:szCs w:val="16"/>
        </w:rPr>
        <w:t xml:space="preserve"> </w:t>
      </w:r>
      <w:proofErr w:type="spellStart"/>
      <w:r w:rsidRPr="0021309B">
        <w:rPr>
          <w:sz w:val="16"/>
          <w:szCs w:val="16"/>
        </w:rPr>
        <w:t>Report</w:t>
      </w:r>
      <w:proofErr w:type="spellEnd"/>
      <w:r w:rsidRPr="0021309B">
        <w:rPr>
          <w:sz w:val="16"/>
          <w:szCs w:val="16"/>
        </w:rPr>
        <w:t xml:space="preserve"> 2020 Design, </w:t>
      </w:r>
      <w:proofErr w:type="spellStart"/>
      <w:r w:rsidRPr="0021309B">
        <w:rPr>
          <w:sz w:val="16"/>
          <w:szCs w:val="16"/>
        </w:rPr>
        <w:t>Dignity</w:t>
      </w:r>
      <w:proofErr w:type="spellEnd"/>
      <w:r w:rsidRPr="0021309B">
        <w:rPr>
          <w:sz w:val="16"/>
          <w:szCs w:val="16"/>
        </w:rPr>
        <w:t xml:space="preserve">, </w:t>
      </w:r>
      <w:proofErr w:type="spellStart"/>
      <w:r w:rsidRPr="0021309B">
        <w:rPr>
          <w:sz w:val="16"/>
          <w:szCs w:val="16"/>
        </w:rPr>
        <w:t>Dementia</w:t>
      </w:r>
      <w:proofErr w:type="spellEnd"/>
      <w:r w:rsidRPr="0021309B">
        <w:rPr>
          <w:sz w:val="16"/>
          <w:szCs w:val="16"/>
        </w:rPr>
        <w:t xml:space="preserve">: </w:t>
      </w:r>
      <w:proofErr w:type="spellStart"/>
      <w:r w:rsidRPr="0021309B">
        <w:rPr>
          <w:sz w:val="16"/>
          <w:szCs w:val="16"/>
        </w:rPr>
        <w:t>Dementia-related</w:t>
      </w:r>
      <w:proofErr w:type="spellEnd"/>
      <w:r w:rsidRPr="0021309B">
        <w:rPr>
          <w:sz w:val="16"/>
          <w:szCs w:val="16"/>
        </w:rPr>
        <w:t xml:space="preserve"> </w:t>
      </w:r>
      <w:proofErr w:type="spellStart"/>
      <w:r w:rsidRPr="0021309B">
        <w:rPr>
          <w:sz w:val="16"/>
          <w:szCs w:val="16"/>
        </w:rPr>
        <w:t>design</w:t>
      </w:r>
      <w:proofErr w:type="spellEnd"/>
      <w:r w:rsidRPr="0021309B">
        <w:rPr>
          <w:sz w:val="16"/>
          <w:szCs w:val="16"/>
        </w:rPr>
        <w:t xml:space="preserve"> </w:t>
      </w:r>
      <w:proofErr w:type="spellStart"/>
      <w:r w:rsidRPr="0021309B">
        <w:rPr>
          <w:sz w:val="16"/>
          <w:szCs w:val="16"/>
        </w:rPr>
        <w:t>and</w:t>
      </w:r>
      <w:proofErr w:type="spellEnd"/>
      <w:r w:rsidRPr="0021309B">
        <w:rPr>
          <w:sz w:val="16"/>
          <w:szCs w:val="16"/>
        </w:rPr>
        <w:t xml:space="preserve"> </w:t>
      </w:r>
      <w:proofErr w:type="spellStart"/>
      <w:r w:rsidRPr="0021309B">
        <w:rPr>
          <w:sz w:val="16"/>
          <w:szCs w:val="16"/>
        </w:rPr>
        <w:t>the</w:t>
      </w:r>
      <w:proofErr w:type="spellEnd"/>
      <w:r w:rsidRPr="0021309B">
        <w:rPr>
          <w:sz w:val="16"/>
          <w:szCs w:val="16"/>
        </w:rPr>
        <w:t xml:space="preserve"> </w:t>
      </w:r>
      <w:proofErr w:type="spellStart"/>
      <w:r w:rsidRPr="0021309B">
        <w:rPr>
          <w:sz w:val="16"/>
          <w:szCs w:val="16"/>
        </w:rPr>
        <w:t>built</w:t>
      </w:r>
      <w:proofErr w:type="spellEnd"/>
      <w:r w:rsidRPr="0021309B">
        <w:rPr>
          <w:sz w:val="16"/>
          <w:szCs w:val="16"/>
        </w:rPr>
        <w:t xml:space="preserve"> </w:t>
      </w:r>
      <w:proofErr w:type="spellStart"/>
      <w:r w:rsidRPr="0021309B">
        <w:rPr>
          <w:sz w:val="16"/>
          <w:szCs w:val="16"/>
        </w:rPr>
        <w:t>environment</w:t>
      </w:r>
      <w:proofErr w:type="spellEnd"/>
      <w:r w:rsidRPr="0021309B">
        <w:rPr>
          <w:sz w:val="16"/>
          <w:szCs w:val="16"/>
        </w:rPr>
        <w:t xml:space="preserve"> </w:t>
      </w:r>
      <w:proofErr w:type="spellStart"/>
      <w:r w:rsidRPr="0021309B">
        <w:rPr>
          <w:sz w:val="16"/>
          <w:szCs w:val="16"/>
        </w:rPr>
        <w:t>Volume</w:t>
      </w:r>
      <w:proofErr w:type="spellEnd"/>
      <w:r w:rsidRPr="0021309B">
        <w:rPr>
          <w:sz w:val="16"/>
          <w:szCs w:val="16"/>
        </w:rPr>
        <w:t xml:space="preserve"> I </w:t>
      </w:r>
      <w:hyperlink r:id="rId6" w:history="1">
        <w:r w:rsidRPr="0021309B">
          <w:rPr>
            <w:rStyle w:val="Hipersaitas"/>
            <w:sz w:val="16"/>
            <w:szCs w:val="16"/>
          </w:rPr>
          <w:t>https://www.alzint.org/u/WorldAlzheimerReport2020Vol1.pdf</w:t>
        </w:r>
      </w:hyperlink>
    </w:p>
    <w:p w14:paraId="12D3D760" w14:textId="77777777" w:rsidR="001B53B0" w:rsidRPr="0021309B" w:rsidRDefault="001B53B0" w:rsidP="001B53B0">
      <w:pPr>
        <w:pStyle w:val="Puslapioinaostekstas"/>
        <w:rPr>
          <w:sz w:val="16"/>
          <w:szCs w:val="16"/>
        </w:rPr>
      </w:pPr>
    </w:p>
  </w:footnote>
  <w:footnote w:id="24">
    <w:p w14:paraId="09088185" w14:textId="77777777" w:rsidR="006748C3" w:rsidRPr="00583084" w:rsidRDefault="006748C3" w:rsidP="006748C3">
      <w:pPr>
        <w:pStyle w:val="Puslapioinaostekstas"/>
        <w:rPr>
          <w:rFonts w:ascii="Times New Roman" w:hAnsi="Times New Roman" w:cs="Times New Roman"/>
          <w:sz w:val="16"/>
          <w:szCs w:val="16"/>
        </w:rPr>
      </w:pPr>
      <w:r w:rsidRPr="00583084">
        <w:rPr>
          <w:rStyle w:val="Puslapioinaosnuoroda"/>
          <w:rFonts w:ascii="Times New Roman" w:hAnsi="Times New Roman" w:cs="Times New Roman"/>
          <w:sz w:val="16"/>
          <w:szCs w:val="16"/>
        </w:rPr>
        <w:footnoteRef/>
      </w:r>
      <w:r w:rsidRPr="00583084">
        <w:rPr>
          <w:rFonts w:ascii="Times New Roman" w:hAnsi="Times New Roman" w:cs="Times New Roman"/>
          <w:sz w:val="16"/>
          <w:szCs w:val="16"/>
        </w:rPr>
        <w:t xml:space="preserve">  65 metų ir vyresnių asmenų demografinių prognostinių scenarijų 2030 ir 2035 metams Lietuvos savivaldybėse studija, 2023 m.  </w:t>
      </w:r>
      <w:hyperlink r:id="rId7" w:history="1">
        <w:r w:rsidRPr="00583084">
          <w:rPr>
            <w:rStyle w:val="Hipersaitas"/>
            <w:rFonts w:ascii="Times New Roman" w:hAnsi="Times New Roman" w:cs="Times New Roman"/>
            <w:sz w:val="16"/>
            <w:szCs w:val="16"/>
          </w:rPr>
          <w:t>https://socmin.lrv.lt/lt/veiklos-sritys/tyrimai/ministerijos-uzsakymu</w:t>
        </w:r>
      </w:hyperlink>
    </w:p>
    <w:p w14:paraId="265D907A" w14:textId="77777777" w:rsidR="006748C3" w:rsidRDefault="006748C3" w:rsidP="006748C3">
      <w:pPr>
        <w:pStyle w:val="Puslapioinaostekstas"/>
      </w:pPr>
    </w:p>
  </w:footnote>
  <w:footnote w:id="25">
    <w:p w14:paraId="1FE78080" w14:textId="77777777" w:rsidR="006748C3" w:rsidRPr="00516642" w:rsidRDefault="006748C3" w:rsidP="006748C3">
      <w:pPr>
        <w:pStyle w:val="Puslapioinaostekstas"/>
        <w:rPr>
          <w:rFonts w:ascii="Times New Roman" w:hAnsi="Times New Roman" w:cs="Times New Roman"/>
          <w:sz w:val="16"/>
          <w:szCs w:val="16"/>
        </w:rPr>
      </w:pPr>
      <w:r w:rsidRPr="00516642">
        <w:rPr>
          <w:rStyle w:val="Puslapioinaosnuoroda"/>
          <w:rFonts w:ascii="Times New Roman" w:hAnsi="Times New Roman" w:cs="Times New Roman"/>
          <w:sz w:val="16"/>
          <w:szCs w:val="16"/>
        </w:rPr>
        <w:footnoteRef/>
      </w:r>
      <w:r w:rsidRPr="00516642">
        <w:rPr>
          <w:rFonts w:ascii="Times New Roman" w:hAnsi="Times New Roman" w:cs="Times New Roman"/>
          <w:sz w:val="16"/>
          <w:szCs w:val="16"/>
        </w:rPr>
        <w:t xml:space="preserve"> OECD (2022), </w:t>
      </w:r>
      <w:proofErr w:type="spellStart"/>
      <w:r w:rsidRPr="00516642">
        <w:rPr>
          <w:rFonts w:ascii="Times New Roman" w:hAnsi="Times New Roman" w:cs="Times New Roman"/>
          <w:sz w:val="16"/>
          <w:szCs w:val="16"/>
        </w:rPr>
        <w:t>Integrating</w:t>
      </w:r>
      <w:proofErr w:type="spellEnd"/>
      <w:r w:rsidRPr="00516642">
        <w:rPr>
          <w:rFonts w:ascii="Times New Roman" w:hAnsi="Times New Roman" w:cs="Times New Roman"/>
          <w:sz w:val="16"/>
          <w:szCs w:val="16"/>
        </w:rPr>
        <w:t xml:space="preserve"> </w:t>
      </w:r>
      <w:proofErr w:type="spellStart"/>
      <w:r w:rsidRPr="00516642">
        <w:rPr>
          <w:rFonts w:ascii="Times New Roman" w:hAnsi="Times New Roman" w:cs="Times New Roman"/>
          <w:sz w:val="16"/>
          <w:szCs w:val="16"/>
        </w:rPr>
        <w:t>Services</w:t>
      </w:r>
      <w:proofErr w:type="spellEnd"/>
      <w:r w:rsidRPr="00516642">
        <w:rPr>
          <w:rFonts w:ascii="Times New Roman" w:hAnsi="Times New Roman" w:cs="Times New Roman"/>
          <w:sz w:val="16"/>
          <w:szCs w:val="16"/>
        </w:rPr>
        <w:t xml:space="preserve"> </w:t>
      </w:r>
      <w:proofErr w:type="spellStart"/>
      <w:r w:rsidRPr="00516642">
        <w:rPr>
          <w:rFonts w:ascii="Times New Roman" w:hAnsi="Times New Roman" w:cs="Times New Roman"/>
          <w:sz w:val="16"/>
          <w:szCs w:val="16"/>
        </w:rPr>
        <w:t>for</w:t>
      </w:r>
      <w:proofErr w:type="spellEnd"/>
      <w:r w:rsidRPr="00516642">
        <w:rPr>
          <w:rFonts w:ascii="Times New Roman" w:hAnsi="Times New Roman" w:cs="Times New Roman"/>
          <w:sz w:val="16"/>
          <w:szCs w:val="16"/>
        </w:rPr>
        <w:t xml:space="preserve"> </w:t>
      </w:r>
      <w:proofErr w:type="spellStart"/>
      <w:r w:rsidRPr="00516642">
        <w:rPr>
          <w:rFonts w:ascii="Times New Roman" w:hAnsi="Times New Roman" w:cs="Times New Roman"/>
          <w:sz w:val="16"/>
          <w:szCs w:val="16"/>
        </w:rPr>
        <w:t>Older</w:t>
      </w:r>
      <w:proofErr w:type="spellEnd"/>
      <w:r w:rsidRPr="00516642">
        <w:rPr>
          <w:rFonts w:ascii="Times New Roman" w:hAnsi="Times New Roman" w:cs="Times New Roman"/>
          <w:sz w:val="16"/>
          <w:szCs w:val="16"/>
        </w:rPr>
        <w:t xml:space="preserve"> </w:t>
      </w:r>
      <w:proofErr w:type="spellStart"/>
      <w:r w:rsidRPr="00516642">
        <w:rPr>
          <w:rFonts w:ascii="Times New Roman" w:hAnsi="Times New Roman" w:cs="Times New Roman"/>
          <w:sz w:val="16"/>
          <w:szCs w:val="16"/>
        </w:rPr>
        <w:t>People</w:t>
      </w:r>
      <w:proofErr w:type="spellEnd"/>
      <w:r w:rsidRPr="00516642">
        <w:rPr>
          <w:rFonts w:ascii="Times New Roman" w:hAnsi="Times New Roman" w:cs="Times New Roman"/>
          <w:sz w:val="16"/>
          <w:szCs w:val="16"/>
        </w:rPr>
        <w:t xml:space="preserve"> in Lithuania, OECD </w:t>
      </w:r>
      <w:proofErr w:type="spellStart"/>
      <w:r w:rsidRPr="00516642">
        <w:rPr>
          <w:rFonts w:ascii="Times New Roman" w:hAnsi="Times New Roman" w:cs="Times New Roman"/>
          <w:sz w:val="16"/>
          <w:szCs w:val="16"/>
        </w:rPr>
        <w:t>Publishing</w:t>
      </w:r>
      <w:proofErr w:type="spellEnd"/>
      <w:r w:rsidRPr="00516642">
        <w:rPr>
          <w:rFonts w:ascii="Times New Roman" w:hAnsi="Times New Roman" w:cs="Times New Roman"/>
          <w:sz w:val="16"/>
          <w:szCs w:val="16"/>
        </w:rPr>
        <w:t>, Paris, https://doi.org/10.1787/c74c44be-en.</w:t>
      </w:r>
    </w:p>
  </w:footnote>
  <w:footnote w:id="26">
    <w:p w14:paraId="0F3980D9" w14:textId="77777777" w:rsidR="006748C3" w:rsidRPr="00516642" w:rsidRDefault="006748C3" w:rsidP="006748C3">
      <w:pPr>
        <w:pStyle w:val="Puslapioinaostekstas"/>
        <w:rPr>
          <w:rFonts w:ascii="Times New Roman" w:hAnsi="Times New Roman" w:cs="Times New Roman"/>
          <w:sz w:val="16"/>
          <w:szCs w:val="16"/>
        </w:rPr>
      </w:pPr>
      <w:r w:rsidRPr="00516642">
        <w:rPr>
          <w:rStyle w:val="Puslapioinaosnuoroda"/>
          <w:rFonts w:ascii="Times New Roman" w:hAnsi="Times New Roman" w:cs="Times New Roman"/>
          <w:sz w:val="16"/>
          <w:szCs w:val="16"/>
        </w:rPr>
        <w:footnoteRef/>
      </w:r>
      <w:r w:rsidRPr="00516642">
        <w:rPr>
          <w:rFonts w:ascii="Times New Roman" w:hAnsi="Times New Roman" w:cs="Times New Roman"/>
          <w:sz w:val="16"/>
          <w:szCs w:val="16"/>
        </w:rPr>
        <w:t xml:space="preserve"> OECD (2022), </w:t>
      </w:r>
      <w:proofErr w:type="spellStart"/>
      <w:r w:rsidRPr="00516642">
        <w:rPr>
          <w:rFonts w:ascii="Times New Roman" w:hAnsi="Times New Roman" w:cs="Times New Roman"/>
          <w:sz w:val="16"/>
          <w:szCs w:val="16"/>
        </w:rPr>
        <w:t>Integrating</w:t>
      </w:r>
      <w:proofErr w:type="spellEnd"/>
      <w:r w:rsidRPr="00516642">
        <w:rPr>
          <w:rFonts w:ascii="Times New Roman" w:hAnsi="Times New Roman" w:cs="Times New Roman"/>
          <w:sz w:val="16"/>
          <w:szCs w:val="16"/>
        </w:rPr>
        <w:t xml:space="preserve"> </w:t>
      </w:r>
      <w:proofErr w:type="spellStart"/>
      <w:r w:rsidRPr="00516642">
        <w:rPr>
          <w:rFonts w:ascii="Times New Roman" w:hAnsi="Times New Roman" w:cs="Times New Roman"/>
          <w:sz w:val="16"/>
          <w:szCs w:val="16"/>
        </w:rPr>
        <w:t>Services</w:t>
      </w:r>
      <w:proofErr w:type="spellEnd"/>
      <w:r w:rsidRPr="00516642">
        <w:rPr>
          <w:rFonts w:ascii="Times New Roman" w:hAnsi="Times New Roman" w:cs="Times New Roman"/>
          <w:sz w:val="16"/>
          <w:szCs w:val="16"/>
        </w:rPr>
        <w:t xml:space="preserve"> </w:t>
      </w:r>
      <w:proofErr w:type="spellStart"/>
      <w:r w:rsidRPr="00516642">
        <w:rPr>
          <w:rFonts w:ascii="Times New Roman" w:hAnsi="Times New Roman" w:cs="Times New Roman"/>
          <w:sz w:val="16"/>
          <w:szCs w:val="16"/>
        </w:rPr>
        <w:t>for</w:t>
      </w:r>
      <w:proofErr w:type="spellEnd"/>
      <w:r w:rsidRPr="00516642">
        <w:rPr>
          <w:rFonts w:ascii="Times New Roman" w:hAnsi="Times New Roman" w:cs="Times New Roman"/>
          <w:sz w:val="16"/>
          <w:szCs w:val="16"/>
        </w:rPr>
        <w:t xml:space="preserve"> </w:t>
      </w:r>
      <w:proofErr w:type="spellStart"/>
      <w:r w:rsidRPr="00516642">
        <w:rPr>
          <w:rFonts w:ascii="Times New Roman" w:hAnsi="Times New Roman" w:cs="Times New Roman"/>
          <w:sz w:val="16"/>
          <w:szCs w:val="16"/>
        </w:rPr>
        <w:t>Older</w:t>
      </w:r>
      <w:proofErr w:type="spellEnd"/>
      <w:r w:rsidRPr="00516642">
        <w:rPr>
          <w:rFonts w:ascii="Times New Roman" w:hAnsi="Times New Roman" w:cs="Times New Roman"/>
          <w:sz w:val="16"/>
          <w:szCs w:val="16"/>
        </w:rPr>
        <w:t xml:space="preserve"> </w:t>
      </w:r>
      <w:proofErr w:type="spellStart"/>
      <w:r w:rsidRPr="00516642">
        <w:rPr>
          <w:rFonts w:ascii="Times New Roman" w:hAnsi="Times New Roman" w:cs="Times New Roman"/>
          <w:sz w:val="16"/>
          <w:szCs w:val="16"/>
        </w:rPr>
        <w:t>People</w:t>
      </w:r>
      <w:proofErr w:type="spellEnd"/>
      <w:r w:rsidRPr="00516642">
        <w:rPr>
          <w:rFonts w:ascii="Times New Roman" w:hAnsi="Times New Roman" w:cs="Times New Roman"/>
          <w:sz w:val="16"/>
          <w:szCs w:val="16"/>
        </w:rPr>
        <w:t xml:space="preserve"> in Lithuania, OECD </w:t>
      </w:r>
      <w:proofErr w:type="spellStart"/>
      <w:r w:rsidRPr="00516642">
        <w:rPr>
          <w:rFonts w:ascii="Times New Roman" w:hAnsi="Times New Roman" w:cs="Times New Roman"/>
          <w:sz w:val="16"/>
          <w:szCs w:val="16"/>
        </w:rPr>
        <w:t>Publishing</w:t>
      </w:r>
      <w:proofErr w:type="spellEnd"/>
      <w:r w:rsidRPr="00516642">
        <w:rPr>
          <w:rFonts w:ascii="Times New Roman" w:hAnsi="Times New Roman" w:cs="Times New Roman"/>
          <w:sz w:val="16"/>
          <w:szCs w:val="16"/>
        </w:rPr>
        <w:t>, Paris, https://doi.org/10.1787/c74c44be-en.</w:t>
      </w:r>
    </w:p>
    <w:p w14:paraId="2C10D036" w14:textId="77777777" w:rsidR="006748C3" w:rsidRPr="00516642" w:rsidRDefault="006748C3" w:rsidP="006748C3">
      <w:pPr>
        <w:pStyle w:val="Puslapioinaostekstas"/>
        <w:rPr>
          <w:rFonts w:ascii="Times New Roman" w:hAnsi="Times New Roman" w:cs="Times New Roman"/>
          <w:sz w:val="16"/>
          <w:szCs w:val="16"/>
        </w:rPr>
      </w:pPr>
    </w:p>
  </w:footnote>
  <w:footnote w:id="27">
    <w:p w14:paraId="458AB9D2" w14:textId="77777777" w:rsidR="006748C3" w:rsidRPr="00A2707A" w:rsidRDefault="006748C3" w:rsidP="006748C3">
      <w:pPr>
        <w:rPr>
          <w:sz w:val="16"/>
          <w:szCs w:val="16"/>
        </w:rPr>
      </w:pPr>
      <w:r>
        <w:rPr>
          <w:rStyle w:val="Puslapioinaosnuoroda"/>
        </w:rPr>
        <w:footnoteRef/>
      </w:r>
      <w:r>
        <w:t xml:space="preserve"> </w:t>
      </w:r>
      <w:r w:rsidRPr="00A2707A">
        <w:rPr>
          <w:color w:val="000000"/>
          <w:sz w:val="16"/>
          <w:szCs w:val="16"/>
        </w:rPr>
        <w:t>Lietuvos Respublikos Vyriausybės 2021 m. balandžio 28 d. nutarimas Nr. 712 „Dėl</w:t>
      </w:r>
      <w:r w:rsidRPr="00A2707A">
        <w:rPr>
          <w:b/>
          <w:bCs/>
          <w:color w:val="000000"/>
          <w:sz w:val="16"/>
          <w:szCs w:val="16"/>
        </w:rPr>
        <w:t xml:space="preserve"> </w:t>
      </w:r>
      <w:r w:rsidRPr="00A2707A">
        <w:rPr>
          <w:color w:val="000000"/>
          <w:sz w:val="16"/>
          <w:szCs w:val="16"/>
        </w:rPr>
        <w:t>strateginio valdymo metodikos patvirtinimo“</w:t>
      </w:r>
    </w:p>
    <w:p w14:paraId="76077AB0" w14:textId="77777777" w:rsidR="006748C3" w:rsidRDefault="006748C3" w:rsidP="006748C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A5D9" w14:textId="77777777" w:rsidR="00E44DC8" w:rsidRDefault="00E44DC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B4BE" w14:textId="77777777" w:rsidR="00E44DC8" w:rsidRDefault="005C645F">
    <w:pPr>
      <w:tabs>
        <w:tab w:val="center" w:pos="4819"/>
        <w:tab w:val="right" w:pos="9638"/>
      </w:tabs>
      <w:jc w:val="center"/>
    </w:pPr>
    <w:r>
      <w:fldChar w:fldCharType="begin"/>
    </w:r>
    <w:r>
      <w:instrText>PAGE   \* MERGEFORMAT</w:instrText>
    </w:r>
    <w:r>
      <w:fldChar w:fldCharType="separate"/>
    </w:r>
    <w:r>
      <w:rPr>
        <w:noProof/>
      </w:rPr>
      <w:t>3</w:t>
    </w:r>
    <w:r>
      <w:fldChar w:fldCharType="end"/>
    </w:r>
  </w:p>
  <w:p w14:paraId="04D9BB23" w14:textId="77777777" w:rsidR="00E44DC8" w:rsidRDefault="00E44DC8">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93CA3" w14:textId="77777777" w:rsidR="00E44DC8" w:rsidRDefault="00E44DC8">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A6784"/>
    <w:multiLevelType w:val="hybridMultilevel"/>
    <w:tmpl w:val="A08476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93B14AF"/>
    <w:multiLevelType w:val="hybridMultilevel"/>
    <w:tmpl w:val="5B5AF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04A12"/>
    <w:rsid w:val="00067A3F"/>
    <w:rsid w:val="000A6EF0"/>
    <w:rsid w:val="000E3F90"/>
    <w:rsid w:val="001154FE"/>
    <w:rsid w:val="00140C52"/>
    <w:rsid w:val="00150D64"/>
    <w:rsid w:val="001B53B0"/>
    <w:rsid w:val="001C512B"/>
    <w:rsid w:val="001D05A8"/>
    <w:rsid w:val="001D5207"/>
    <w:rsid w:val="001F0429"/>
    <w:rsid w:val="002A17D2"/>
    <w:rsid w:val="002D3498"/>
    <w:rsid w:val="002D53D5"/>
    <w:rsid w:val="002E3F62"/>
    <w:rsid w:val="002E665A"/>
    <w:rsid w:val="002F0563"/>
    <w:rsid w:val="00331100"/>
    <w:rsid w:val="003B3917"/>
    <w:rsid w:val="003F3AE7"/>
    <w:rsid w:val="00417E0D"/>
    <w:rsid w:val="0043457C"/>
    <w:rsid w:val="0045394F"/>
    <w:rsid w:val="004F30F0"/>
    <w:rsid w:val="004F4342"/>
    <w:rsid w:val="005017C9"/>
    <w:rsid w:val="005049DD"/>
    <w:rsid w:val="005424CD"/>
    <w:rsid w:val="005C645F"/>
    <w:rsid w:val="005C7038"/>
    <w:rsid w:val="006748C3"/>
    <w:rsid w:val="006D3946"/>
    <w:rsid w:val="006D4F6D"/>
    <w:rsid w:val="006F31D0"/>
    <w:rsid w:val="00710822"/>
    <w:rsid w:val="0074671E"/>
    <w:rsid w:val="00766489"/>
    <w:rsid w:val="007F431B"/>
    <w:rsid w:val="00815093"/>
    <w:rsid w:val="00842BBF"/>
    <w:rsid w:val="00844361"/>
    <w:rsid w:val="0085077C"/>
    <w:rsid w:val="00861E91"/>
    <w:rsid w:val="00893BBC"/>
    <w:rsid w:val="00902D38"/>
    <w:rsid w:val="00990B4B"/>
    <w:rsid w:val="009E6381"/>
    <w:rsid w:val="00A14FAA"/>
    <w:rsid w:val="00A965FE"/>
    <w:rsid w:val="00AE5F6B"/>
    <w:rsid w:val="00AE6510"/>
    <w:rsid w:val="00B220F6"/>
    <w:rsid w:val="00B4699E"/>
    <w:rsid w:val="00B569B8"/>
    <w:rsid w:val="00C17919"/>
    <w:rsid w:val="00C227F6"/>
    <w:rsid w:val="00C87A44"/>
    <w:rsid w:val="00D35B76"/>
    <w:rsid w:val="00DA2631"/>
    <w:rsid w:val="00E227EF"/>
    <w:rsid w:val="00E415BD"/>
    <w:rsid w:val="00E44DC8"/>
    <w:rsid w:val="00E624F3"/>
    <w:rsid w:val="00E84496"/>
    <w:rsid w:val="00E95647"/>
    <w:rsid w:val="00ED24E1"/>
    <w:rsid w:val="00F0407E"/>
    <w:rsid w:val="00F25DD1"/>
    <w:rsid w:val="00F26B82"/>
    <w:rsid w:val="00F60DCF"/>
    <w:rsid w:val="00F7465C"/>
    <w:rsid w:val="00FC7414"/>
    <w:rsid w:val="00FE482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4522B"/>
  <w15:docId w15:val="{8E3F9EBA-D944-4707-976D-47953B11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Char1"/>
    <w:basedOn w:val="prastasis"/>
    <w:link w:val="PuslapioinaostekstasDiagrama"/>
    <w:uiPriority w:val="99"/>
    <w:unhideWhenUsed/>
    <w:qFormat/>
    <w:rsid w:val="00902D38"/>
    <w:rPr>
      <w:rFonts w:asciiTheme="minorHAnsi" w:eastAsiaTheme="minorHAnsi" w:hAnsiTheme="minorHAnsi" w:cstheme="minorBidi"/>
      <w:sz w:val="20"/>
    </w:r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qFormat/>
    <w:rsid w:val="00902D38"/>
    <w:rPr>
      <w:rFonts w:asciiTheme="minorHAnsi" w:eastAsiaTheme="minorHAnsi" w:hAnsiTheme="minorHAnsi" w:cstheme="minorBidi"/>
      <w:sz w:val="20"/>
    </w:rPr>
  </w:style>
  <w:style w:type="character" w:styleId="Puslapioinaosnuoroda">
    <w:name w:val="footnote reference"/>
    <w:aliases w:val="Footnote Reference Superscript,BVI fnr, BVI fnr,Footnote symbol,Footnote reference number,note TESI,Appel note de bas de p,Nota,SUPERS,Footnote number,EN Footnote Reference,-E Fußnotenzeichen,number Char Char,number,Ref,styl,o"/>
    <w:basedOn w:val="Numatytasispastraiposriftas"/>
    <w:link w:val="SUPERSChar"/>
    <w:uiPriority w:val="99"/>
    <w:unhideWhenUsed/>
    <w:qFormat/>
    <w:rsid w:val="00902D38"/>
    <w:rPr>
      <w:vertAlign w:val="superscript"/>
    </w:rPr>
  </w:style>
  <w:style w:type="character" w:styleId="Hipersaitas">
    <w:name w:val="Hyperlink"/>
    <w:basedOn w:val="Numatytasispastraiposriftas"/>
    <w:uiPriority w:val="99"/>
    <w:unhideWhenUsed/>
    <w:rsid w:val="00902D38"/>
    <w:rPr>
      <w:color w:val="0000FF"/>
      <w:u w:val="single"/>
    </w:rPr>
  </w:style>
  <w:style w:type="paragraph" w:customStyle="1" w:styleId="SUPERSChar">
    <w:name w:val="SUPERS Char"/>
    <w:aliases w:val="EN Footnote Reference Char"/>
    <w:basedOn w:val="prastasis"/>
    <w:link w:val="Puslapioinaosnuoroda"/>
    <w:uiPriority w:val="99"/>
    <w:rsid w:val="00902D38"/>
    <w:pPr>
      <w:spacing w:after="160" w:line="240" w:lineRule="exact"/>
    </w:pPr>
    <w:rPr>
      <w:vertAlign w:val="superscript"/>
    </w:rPr>
  </w:style>
  <w:style w:type="paragraph" w:styleId="prastasiniatinklio">
    <w:name w:val="Normal (Web)"/>
    <w:basedOn w:val="prastasis"/>
    <w:uiPriority w:val="99"/>
    <w:rsid w:val="00E624F3"/>
    <w:pPr>
      <w:suppressAutoHyphens/>
      <w:autoSpaceDN w:val="0"/>
      <w:spacing w:before="100" w:after="100"/>
      <w:textAlignment w:val="baseline"/>
    </w:pPr>
    <w:rPr>
      <w:szCs w:val="24"/>
      <w:lang w:eastAsia="lt-LT"/>
    </w:rPr>
  </w:style>
  <w:style w:type="table" w:styleId="Lentelstinklelis">
    <w:name w:val="Table Grid"/>
    <w:aliases w:val="CV table,CV1,Lentelė (default'inė)"/>
    <w:basedOn w:val="prastojilentel"/>
    <w:uiPriority w:val="59"/>
    <w:qFormat/>
    <w:rsid w:val="00E624F3"/>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tekstas">
    <w:name w:val="Pagr_tekstas"/>
    <w:basedOn w:val="prastasis"/>
    <w:rsid w:val="00E624F3"/>
    <w:pPr>
      <w:ind w:firstLine="720"/>
      <w:jc w:val="both"/>
    </w:pPr>
    <w:rPr>
      <w:rFonts w:ascii="Arial" w:hAnsi="Arial"/>
      <w:sz w:val="20"/>
      <w:lang w:val="en-GB"/>
    </w:rPr>
  </w:style>
  <w:style w:type="paragraph" w:customStyle="1" w:styleId="Nrdata">
    <w:name w:val="Nr_data"/>
    <w:basedOn w:val="prastasis"/>
    <w:rsid w:val="00E624F3"/>
    <w:pPr>
      <w:jc w:val="right"/>
    </w:pPr>
    <w:rPr>
      <w:rFonts w:ascii="Arial" w:hAnsi="Arial"/>
      <w:sz w:val="22"/>
      <w:lang w:val="en-GB"/>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E624F3"/>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E624F3"/>
  </w:style>
  <w:style w:type="character" w:styleId="Komentaronuoroda">
    <w:name w:val="annotation reference"/>
    <w:basedOn w:val="Numatytasispastraiposriftas"/>
    <w:uiPriority w:val="99"/>
    <w:unhideWhenUsed/>
    <w:rsid w:val="001B53B0"/>
    <w:rPr>
      <w:sz w:val="16"/>
      <w:szCs w:val="16"/>
    </w:rPr>
  </w:style>
  <w:style w:type="paragraph" w:styleId="Komentarotekstas">
    <w:name w:val="annotation text"/>
    <w:basedOn w:val="prastasis"/>
    <w:link w:val="KomentarotekstasDiagrama"/>
    <w:uiPriority w:val="99"/>
    <w:unhideWhenUsed/>
    <w:rsid w:val="001B53B0"/>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uiPriority w:val="99"/>
    <w:rsid w:val="001B53B0"/>
    <w:rPr>
      <w:rFonts w:asciiTheme="minorHAnsi" w:eastAsiaTheme="minorHAnsi" w:hAnsiTheme="minorHAnsi" w:cstheme="minorBidi"/>
      <w:sz w:val="20"/>
      <w:lang w:val="en-US"/>
    </w:rPr>
  </w:style>
  <w:style w:type="character" w:customStyle="1" w:styleId="normaltextrun">
    <w:name w:val="normaltextrun"/>
    <w:basedOn w:val="Numatytasispastraiposriftas"/>
    <w:rsid w:val="006748C3"/>
  </w:style>
  <w:style w:type="character" w:customStyle="1" w:styleId="eop">
    <w:name w:val="eop"/>
    <w:basedOn w:val="Numatytasispastraiposriftas"/>
    <w:rsid w:val="006748C3"/>
  </w:style>
  <w:style w:type="paragraph" w:customStyle="1" w:styleId="paragraph">
    <w:name w:val="paragraph"/>
    <w:basedOn w:val="prastasis"/>
    <w:rsid w:val="006748C3"/>
    <w:pPr>
      <w:spacing w:before="100" w:beforeAutospacing="1" w:after="100" w:afterAutospacing="1"/>
    </w:pPr>
    <w:rPr>
      <w:szCs w:val="24"/>
      <w:lang w:eastAsia="lt-LT"/>
    </w:rPr>
  </w:style>
  <w:style w:type="paragraph" w:styleId="Pataisymai">
    <w:name w:val="Revision"/>
    <w:hidden/>
    <w:semiHidden/>
    <w:rsid w:val="00F26B82"/>
  </w:style>
  <w:style w:type="paragraph" w:styleId="Komentarotema">
    <w:name w:val="annotation subject"/>
    <w:basedOn w:val="Komentarotekstas"/>
    <w:next w:val="Komentarotekstas"/>
    <w:link w:val="KomentarotemaDiagrama"/>
    <w:semiHidden/>
    <w:unhideWhenUsed/>
    <w:rsid w:val="00F26B82"/>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semiHidden/>
    <w:rsid w:val="00F26B82"/>
    <w:rPr>
      <w:rFonts w:asciiTheme="minorHAnsi" w:eastAsiaTheme="minorHAnsi" w:hAnsiTheme="minorHAnsi" w:cstheme="minorBidi"/>
      <w:b/>
      <w:bCs/>
      <w:sz w:val="20"/>
      <w:lang w:val="en-US"/>
    </w:rPr>
  </w:style>
  <w:style w:type="character" w:styleId="Neapdorotaspaminjimas">
    <w:name w:val="Unresolved Mention"/>
    <w:basedOn w:val="Numatytasispastraiposriftas"/>
    <w:uiPriority w:val="99"/>
    <w:semiHidden/>
    <w:unhideWhenUsed/>
    <w:rsid w:val="00F26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11823">
      <w:bodyDiv w:val="1"/>
      <w:marLeft w:val="0"/>
      <w:marRight w:val="0"/>
      <w:marTop w:val="0"/>
      <w:marBottom w:val="0"/>
      <w:divBdr>
        <w:top w:val="none" w:sz="0" w:space="0" w:color="auto"/>
        <w:left w:val="none" w:sz="0" w:space="0" w:color="auto"/>
        <w:bottom w:val="none" w:sz="0" w:space="0" w:color="auto"/>
        <w:right w:val="none" w:sz="0" w:space="0" w:color="auto"/>
      </w:divBdr>
    </w:div>
    <w:div w:id="839463125">
      <w:bodyDiv w:val="1"/>
      <w:marLeft w:val="0"/>
      <w:marRight w:val="0"/>
      <w:marTop w:val="0"/>
      <w:marBottom w:val="0"/>
      <w:divBdr>
        <w:top w:val="none" w:sz="0" w:space="0" w:color="auto"/>
        <w:left w:val="none" w:sz="0" w:space="0" w:color="auto"/>
        <w:bottom w:val="none" w:sz="0" w:space="0" w:color="auto"/>
        <w:right w:val="none" w:sz="0" w:space="0" w:color="auto"/>
      </w:divBdr>
    </w:div>
    <w:div w:id="892621133">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477410328">
      <w:bodyDiv w:val="1"/>
      <w:marLeft w:val="0"/>
      <w:marRight w:val="0"/>
      <w:marTop w:val="0"/>
      <w:marBottom w:val="0"/>
      <w:divBdr>
        <w:top w:val="none" w:sz="0" w:space="0" w:color="auto"/>
        <w:left w:val="none" w:sz="0" w:space="0" w:color="auto"/>
        <w:bottom w:val="none" w:sz="0" w:space="0" w:color="auto"/>
        <w:right w:val="none" w:sz="0" w:space="0" w:color="auto"/>
      </w:divBdr>
    </w:div>
    <w:div w:id="1717853528">
      <w:bodyDiv w:val="1"/>
      <w:marLeft w:val="0"/>
      <w:marRight w:val="0"/>
      <w:marTop w:val="0"/>
      <w:marBottom w:val="0"/>
      <w:divBdr>
        <w:top w:val="none" w:sz="0" w:space="0" w:color="auto"/>
        <w:left w:val="none" w:sz="0" w:space="0" w:color="auto"/>
        <w:bottom w:val="none" w:sz="0" w:space="0" w:color="auto"/>
        <w:right w:val="none" w:sz="0" w:space="0" w:color="auto"/>
      </w:divBdr>
    </w:div>
    <w:div w:id="1747722862">
      <w:bodyDiv w:val="1"/>
      <w:marLeft w:val="0"/>
      <w:marRight w:val="0"/>
      <w:marTop w:val="0"/>
      <w:marBottom w:val="0"/>
      <w:divBdr>
        <w:top w:val="none" w:sz="0" w:space="0" w:color="auto"/>
        <w:left w:val="none" w:sz="0" w:space="0" w:color="auto"/>
        <w:bottom w:val="none" w:sz="0" w:space="0" w:color="auto"/>
        <w:right w:val="none" w:sz="0" w:space="0" w:color="auto"/>
      </w:divBdr>
    </w:div>
    <w:div w:id="184276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cpva.lt%2Fwp-content%2Fuploads%2F2024%2F04%2Fpriemoniu-skaiciuokle-v1-3_20240103.xlsm&amp;wdOrigin=BROWSELIN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gateway.euro.who.int/en/datasets/european-health-for-all-database/" TargetMode="External"/><Relationship Id="rId7" Type="http://schemas.openxmlformats.org/officeDocument/2006/relationships/hyperlink" Target="https://socmin.lrv.lt/lt/veiklos-sritys/tyrimai/ministerijos-uzsakymu" TargetMode="External"/><Relationship Id="rId2" Type="http://schemas.openxmlformats.org/officeDocument/2006/relationships/hyperlink" Target="https://www.lstc.lt/wp-content/uploads/2020/01/Lietuvos_socialine_raida_2019_8.pdf" TargetMode="External"/><Relationship Id="rId1" Type="http://schemas.openxmlformats.org/officeDocument/2006/relationships/hyperlink" Target="https://www.e-tar.lt/portal/lt/legalAct/f228ffc0438411ec992fe4cdfceb5666" TargetMode="External"/><Relationship Id="rId6" Type="http://schemas.openxmlformats.org/officeDocument/2006/relationships/hyperlink" Target="https://www.alzint.org/u/WorldAlzheimerReport2020Vol1.pdf" TargetMode="External"/><Relationship Id="rId5" Type="http://schemas.openxmlformats.org/officeDocument/2006/relationships/hyperlink" Target="https://socmin.lrv.lt/lt/veiklos-sritys/tyrimai/ministerijos-uzsakymu" TargetMode="External"/><Relationship Id="rId4" Type="http://schemas.openxmlformats.org/officeDocument/2006/relationships/hyperlink" Target="https://e-seimas.lrs.lt/portal/legalAct/lt/TAD/973c87403bc311eb8c97e01ffe050e1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10213-D4CD-4135-9D66-5022A830F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22860</Words>
  <Characters>13031</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35820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Inga Bankauskienė</cp:lastModifiedBy>
  <cp:revision>2</cp:revision>
  <dcterms:created xsi:type="dcterms:W3CDTF">2024-10-15T10:52:00Z</dcterms:created>
  <dcterms:modified xsi:type="dcterms:W3CDTF">2024-10-15T10:52:00Z</dcterms:modified>
</cp:coreProperties>
</file>