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DFCA" w14:textId="291F31CC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66DC">
        <w:rPr>
          <w:rFonts w:ascii="Times New Roman" w:hAnsi="Times New Roman" w:cs="Times New Roman"/>
          <w:caps/>
          <w:sz w:val="24"/>
          <w:szCs w:val="24"/>
          <w:lang w:eastAsia="lt-LT"/>
        </w:rPr>
        <w:t xml:space="preserve">2021-2030 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>metų Nacionalinio</w:t>
      </w:r>
    </w:p>
    <w:p w14:paraId="1CE3E934" w14:textId="77777777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 w:rsidRPr="00A166DC">
        <w:rPr>
          <w:rFonts w:ascii="Times New Roman" w:hAnsi="Times New Roman" w:cs="Times New Roman"/>
          <w:sz w:val="24"/>
          <w:szCs w:val="24"/>
          <w:lang w:eastAsia="lt-LT"/>
        </w:rPr>
        <w:t>pažangos plano</w:t>
      </w:r>
    </w:p>
    <w:p w14:paraId="6E7638CB" w14:textId="46CC4A44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48E3F1F8" w14:textId="486DC556" w:rsidR="00A166DC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B2DCB" w14:textId="45366180" w:rsidR="001D729D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2021-2030 metų nacionalinio pažangos plano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finansinės projekcijos 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strategini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ams 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tiksl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ams</w:t>
      </w:r>
    </w:p>
    <w:p w14:paraId="09666B43" w14:textId="77777777" w:rsidR="00A166DC" w:rsidRPr="00A166DC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7"/>
        <w:gridCol w:w="2927"/>
        <w:gridCol w:w="1353"/>
        <w:gridCol w:w="4253"/>
        <w:gridCol w:w="4120"/>
      </w:tblGrid>
      <w:tr w:rsidR="001E7267" w:rsidRPr="001E7267" w14:paraId="3A41DC07" w14:textId="77777777" w:rsidTr="00A166DC">
        <w:trPr>
          <w:trHeight w:val="1440"/>
        </w:trPr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8AC60" w14:textId="315ADD4B" w:rsidR="001D729D" w:rsidRPr="001E7267" w:rsidRDefault="00A166DC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Strateginis</w:t>
            </w:r>
            <w:r w:rsidR="001D729D"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tikslas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99A71" w14:textId="77777777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Valstybės veiklos sritys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6CA66" w14:textId="766CAAD0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Planuojama </w:t>
            </w:r>
            <w:r w:rsidR="00A166D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Plano</w:t>
            </w: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lėšų dalis tikslui įgyvendinti (proc</w:t>
            </w:r>
            <w:r w:rsidR="00A166D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entai</w:t>
            </w: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F93BA" w14:textId="77777777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Tikslo finansavimui keliamos sąlygos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33D42" w14:textId="77777777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Kiti tarptautiniai finansavimo šaltiniai *</w:t>
            </w:r>
          </w:p>
        </w:tc>
      </w:tr>
      <w:tr w:rsidR="001E7267" w:rsidRPr="001E7267" w14:paraId="204156B3" w14:textId="77777777" w:rsidTr="00A166DC">
        <w:trPr>
          <w:trHeight w:val="946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A2C439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Pereiti prie mokslo žiniomis, pažangiosiomis technologijomis, inovacijomis grįsto darnaus ekonomikos vystymosi ir didinti šalies tarptautinį konkurencingumą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4E83B6" w14:textId="0CD55871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Verslo konkurencingumas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Švietimas, mokslas ir sportas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Viešieji finansai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Kultūra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Teisingumas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A166DC" w:rsidRPr="00A166DC">
              <w:rPr>
                <w:rFonts w:ascii="Times New Roman" w:eastAsia="Times New Roman" w:hAnsi="Times New Roman" w:cs="Times New Roman"/>
                <w:lang w:eastAsia="lt-LT"/>
              </w:rPr>
              <w:t>Žemės ir maisto ūkis, kaimo plėtra ir žuvininkystė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E87C" w14:textId="77777777" w:rsidR="00935A2D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B131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20 proc. tikslui numatytų išlaidų turi būti finansuojama privačiomis lėšomis</w:t>
            </w:r>
          </w:p>
          <w:p w14:paraId="6B687DF7" w14:textId="77777777" w:rsidR="00935A2D" w:rsidRPr="001E7267" w:rsidRDefault="00A36395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 D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B54C6B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Europos strateginių investicijų fondas. „Junkerio planas“ (EFSI)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prisitaikymo prie globalizacijos padarinių fondas (EGF)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Užimtumo ir socialinių inovacijų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Teisių, lygybės ir pilietybės programa (REC)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 Sveikatos ir maisto saugos programa</w:t>
            </w:r>
          </w:p>
        </w:tc>
      </w:tr>
      <w:tr w:rsidR="001E7267" w:rsidRPr="001E7267" w14:paraId="3FA3ACD8" w14:textId="77777777" w:rsidTr="00A166DC">
        <w:trPr>
          <w:trHeight w:val="127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E2DA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8629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98E1" w14:textId="77777777" w:rsidR="00935A2D" w:rsidRPr="001E7267" w:rsidRDefault="00E60DEA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BC3E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  <w:p w14:paraId="23705B76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5. Pasinaudoti programos "Horizontas" finansavimu ne mažiau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nei įmokama suma</w:t>
            </w:r>
          </w:p>
          <w:p w14:paraId="2871758A" w14:textId="77777777" w:rsidR="002310C3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6. Pasinaudoti grįžtančiomis lėšomis iš finansinių priemonių ne mažiau 87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70767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693CC86C" w14:textId="77777777" w:rsidTr="00A166DC">
        <w:trPr>
          <w:trHeight w:val="1020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2ABDAD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Didinti gyventojų socialinę gerovę ir </w:t>
            </w:r>
            <w:proofErr w:type="spellStart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įtrauktį</w:t>
            </w:r>
            <w:proofErr w:type="spellEnd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, stiprinti sveikatą ir gerinti Lietuvos demografinę padėtį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BB5C34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Socialinė apsauga ir užimtumas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Sveikata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263C" w14:textId="77777777" w:rsidR="00935A2D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A27D" w14:textId="77777777" w:rsidR="00935A2D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7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proc. tikslui numatytų išlaidų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turi būti finansuojama privačiomis lėšomis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5CA67551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8EF9171" w14:textId="77777777" w:rsidR="00935A2D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Europos prisitaikymo prie globalizacijos padarinių fondas (EGF)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Užimtumo ir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socialinių inovacijų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Teisių, lygybė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s ir pilietybės programa (REC)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Sveikatos ir maisto saugos programa</w:t>
            </w:r>
          </w:p>
          <w:p w14:paraId="19ABA745" w14:textId="77777777" w:rsidR="00CF0CBC" w:rsidRPr="001E7267" w:rsidRDefault="00CF0CBC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6. CEF</w:t>
            </w:r>
          </w:p>
        </w:tc>
      </w:tr>
      <w:tr w:rsidR="001E7267" w:rsidRPr="001E7267" w14:paraId="03E5D9E6" w14:textId="77777777" w:rsidTr="00A166DC">
        <w:trPr>
          <w:trHeight w:val="611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69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F27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526A" w14:textId="77777777" w:rsidR="00E60DEA" w:rsidRPr="001E7267" w:rsidRDefault="00E60DEA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329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3. 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F71C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2FF20E9D" w14:textId="77777777" w:rsidTr="00A166DC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E4EF2C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Didinti švietimo </w:t>
            </w:r>
            <w:proofErr w:type="spellStart"/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>įtrauktį</w:t>
            </w:r>
            <w:proofErr w:type="spellEnd"/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veiksmingumą, siekiant atitikties asmens ir  visuomenės poreikiams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B841AE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Švietimas, mokslas ir sportas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69C1" w14:textId="77777777" w:rsidR="00E60DEA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FE22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EF4336" w14:textId="32F3F13D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Erasmus +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Šiaurės ministrų Tarybos programa „</w:t>
            </w:r>
            <w:proofErr w:type="spellStart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Nordplus</w:t>
            </w:r>
            <w:proofErr w:type="spellEnd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Lietuvos vystomojo bendradarbiavimo projektų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Šiaurės šalių ministrų tarybos programos</w:t>
            </w:r>
          </w:p>
        </w:tc>
      </w:tr>
      <w:tr w:rsidR="001E7267" w:rsidRPr="001E7267" w14:paraId="5E72FAB6" w14:textId="77777777" w:rsidTr="00A166DC">
        <w:trPr>
          <w:trHeight w:val="81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660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526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A9A5" w14:textId="77777777" w:rsidR="00E60DEA" w:rsidRPr="001E7267" w:rsidRDefault="00E60DEA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CC9" w14:textId="77777777" w:rsidR="00E60DEA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75FCC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0009B087" w14:textId="77777777" w:rsidTr="00A166DC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08FDA4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4. Stiprinti tautinį ir pilietinį tapatumą, didinti kultūros skvarbą ir visuomenės kūrybingumą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F7817F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Kultūra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Švietimas, mokslas ir sportas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Valstybės valdymas ir viešasis administravimas (LRVK)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EE54" w14:textId="77777777" w:rsidR="00C34344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1,5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FCD6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1 proc. tikslui numatytų išlaidų turi būti finansuojama privačiomis lėšomis.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4AE5BF0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Teisių, lygybės ir pilietybės programa (REC)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Kūrybiška Europa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Šiaurės šalių ministrų tarybos programos</w:t>
            </w:r>
          </w:p>
        </w:tc>
      </w:tr>
      <w:tr w:rsidR="001E7267" w:rsidRPr="001E7267" w14:paraId="7BBDB4AE" w14:textId="77777777" w:rsidTr="00A166DC">
        <w:trPr>
          <w:trHeight w:val="847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D036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EB1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80D6" w14:textId="77777777" w:rsidR="00C34344" w:rsidRPr="001E7267" w:rsidRDefault="00C34344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85E1" w14:textId="77777777" w:rsidR="00C34344" w:rsidRPr="001E7267" w:rsidRDefault="002310C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. Pasinaudoti kitų tarptautinių finansavimo šaltinių lėšomis ne mažiau 5 proc.</w:t>
            </w:r>
          </w:p>
          <w:p w14:paraId="6725F768" w14:textId="77777777" w:rsidR="001C7855" w:rsidRPr="001E7267" w:rsidRDefault="002310C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Pasinaudoti grįžtančiomis lėšomis iš finansinių priemonių ne mažiau 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1357C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2AFE68EC" w14:textId="77777777" w:rsidTr="00A166DC">
        <w:trPr>
          <w:trHeight w:val="1266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960DC" w14:textId="2D679E4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5.  Gerinti transporto, energetinį ir skaitmeninį vidinį ir išorinį </w:t>
            </w:r>
            <w:r w:rsidR="00A166DC">
              <w:rPr>
                <w:rFonts w:ascii="Times New Roman" w:eastAsia="Times New Roman" w:hAnsi="Times New Roman" w:cs="Times New Roman"/>
                <w:lang w:eastAsia="lt-LT"/>
              </w:rPr>
              <w:t>jungl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umą 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95B642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Transportas ir ryšiai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CFC0" w14:textId="77777777" w:rsidR="00C34344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E76C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11 proc. tikslui numatytų išlaidų turi būti finansuojama privačiomis lėšomis.</w:t>
            </w:r>
          </w:p>
          <w:p w14:paraId="0895D894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7A25E09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CEF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strateginių investicijų fondas. „Junkerio planas“ (EFSI)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 INTERREG programos </w:t>
            </w:r>
          </w:p>
        </w:tc>
      </w:tr>
      <w:tr w:rsidR="001E7267" w:rsidRPr="001E7267" w14:paraId="2D69B609" w14:textId="77777777" w:rsidTr="00A166DC">
        <w:trPr>
          <w:trHeight w:val="1553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DDB4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3687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C7DD" w14:textId="77777777" w:rsidR="00C34344" w:rsidRPr="001E7267" w:rsidRDefault="00C34344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3590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3. Pasinaudoti kitų tarptautinių finansavimo šaltinių lėšomis ne mažiau 5 proc.</w:t>
            </w:r>
          </w:p>
          <w:p w14:paraId="3764ABB5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4. Pasinaudoti Europos infrastruktūros tinklų priemonės finansine parama ne mažiau </w:t>
            </w:r>
            <w:r w:rsidR="00281685" w:rsidRPr="001E7267">
              <w:rPr>
                <w:rFonts w:ascii="Times New Roman" w:eastAsia="Times New Roman" w:hAnsi="Times New Roman" w:cs="Times New Roman"/>
                <w:lang w:eastAsia="lt-LT"/>
              </w:rPr>
              <w:t>260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mln. eurų (neskaitant iš Sanglaudos fondo skiriamos lėšų dalies)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2C1C02CA" w14:textId="77777777" w:rsidR="001C7855" w:rsidRPr="001E7267" w:rsidRDefault="00B11B9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5. Pasinaudoti grįžtančiomis lėšomis iš finansinių priemonių ne mažiau 0,5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3D686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7C1F288C" w14:textId="77777777" w:rsidTr="00EF0A55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794B90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6. Užtikrinti gerą aplinkos kokybę ir gamtos išteklių naudojimo darną, saugoti biologinę įvairovę, švelninti Lietuvos poveikį klimato kaitai ir didinti atsparumą jos poveikiui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54BA6B" w14:textId="19DF9F6E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Aplinka ir klimato kaita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Verslo konkurencingumas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Transportas ir ryšiai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A166DC" w:rsidRPr="00A166DC">
              <w:rPr>
                <w:rFonts w:ascii="Times New Roman" w:eastAsia="Times New Roman" w:hAnsi="Times New Roman" w:cs="Times New Roman"/>
                <w:lang w:eastAsia="lt-LT"/>
              </w:rPr>
              <w:t>Žemės ir maisto ūkis, kaimo plėtra ir žuvininkystė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4BF3" w14:textId="77777777" w:rsidR="00C34344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8224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14 proc. tikslui numatytų išlaidų turi būti finansuojama privačiomis lėšomis.</w:t>
            </w:r>
          </w:p>
          <w:p w14:paraId="75038940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B544DA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Klimato kaitos specialioji programa (KKSP)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Aplinkos ir klimato kaitos programa LIFE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Šiaurės šalių ministrų tarybos programos</w:t>
            </w:r>
          </w:p>
        </w:tc>
      </w:tr>
      <w:tr w:rsidR="001E7267" w:rsidRPr="001E7267" w14:paraId="2FED8CE0" w14:textId="77777777" w:rsidTr="00EF0A55">
        <w:trPr>
          <w:trHeight w:val="847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7C64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FA25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33E9" w14:textId="77777777" w:rsidR="00C34344" w:rsidRPr="001E7267" w:rsidRDefault="00C34344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3CA6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  <w:p w14:paraId="0FFB7F54" w14:textId="77777777" w:rsidR="001C7855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4. Pasinaudoti grįžtančiomis lėšomis iš finansinių priemonių ne mažiau 145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76E2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54D9CB74" w14:textId="77777777" w:rsidTr="00EF0A55">
        <w:trPr>
          <w:trHeight w:val="559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423FD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7. Tvariai ir subalansuotai vystyti Lietuvos teritoriją ir mažinti regioninę atskirtį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99275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Regioninė plėtra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(Dalyvaujančios sritys - Aplinka ir klimato kaita, Verslo konkurencingumas, Kultūra, Socialinė apsauga ir užimtumas, Transportas ir ryšiai, Sveikata,  Švietimas, mokslas ir sportas, Žemės ir maisto ūkis, kaimo plėtra ir žuvininkystė)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88C6" w14:textId="77777777" w:rsidR="00B11B93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E3C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3 proc. tikslui numatytų išlaidų turi būti finansuojama privačiomis lėšomis.</w:t>
            </w:r>
          </w:p>
          <w:p w14:paraId="18E52171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2. Ne mažiau 30 proc. ES lėšomis finansuojamų projektų nacionalinio prisidėjimo turi būti finansuojama savivaldybių lėšomis.</w:t>
            </w:r>
          </w:p>
          <w:p w14:paraId="2940AA18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0CA1D7B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ES įmonių konkurencingumo ir Mažųjų ir vidutinių įmonių skatinimo programa (COSME)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Lietuvos vystomojo bendradarbiavimo projektų programa</w:t>
            </w:r>
          </w:p>
        </w:tc>
      </w:tr>
      <w:tr w:rsidR="001E7267" w:rsidRPr="001E7267" w14:paraId="206291E6" w14:textId="77777777" w:rsidTr="00EF0A55">
        <w:trPr>
          <w:trHeight w:val="573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FDD4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7BF1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A2CC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2234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3. 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2AA3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64B9A61C" w14:textId="77777777" w:rsidTr="00EF0A55">
        <w:trPr>
          <w:trHeight w:val="701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83E080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8. Didinti teisinės sistemos ir viešojo valdymo veiksmingumą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484DF6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Teisingumas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Valstybės valdymas ir viešasis administravimas (VRM)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Viešieji finansai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Regioninė plėtra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D0CE" w14:textId="77777777" w:rsidR="00B11B93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055ED">
              <w:rPr>
                <w:rFonts w:ascii="Times New Roman" w:eastAsia="Times New Roman" w:hAnsi="Times New Roman" w:cs="Times New Roman"/>
                <w:lang w:eastAsia="lt-LT"/>
              </w:rPr>
              <w:t>,2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2622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B99C22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Struktūrinių reformų rėmimo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Komisijos Teisingumo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demokratijos ir žmogaus teisių rėmimo priemonė (EIDHR)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4. </w:t>
            </w:r>
            <w:proofErr w:type="spellStart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Periklio</w:t>
            </w:r>
            <w:proofErr w:type="spellEnd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Viešojo administravimo institucijų, įmonių ir piliečių sąveikumo sprendimai (ISA2)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 Heraklio III programa</w:t>
            </w:r>
          </w:p>
        </w:tc>
      </w:tr>
      <w:tr w:rsidR="001E7267" w:rsidRPr="001E7267" w14:paraId="7F3A0A50" w14:textId="77777777" w:rsidTr="00EF0A55">
        <w:trPr>
          <w:trHeight w:val="97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6181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69D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D4C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AA0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00EA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14A18741" w14:textId="77777777" w:rsidTr="00EF0A55">
        <w:trPr>
          <w:trHeight w:val="988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AAA22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9. Stiprinti Lietuvos įtaką pasaulyje ir ryšius su diaspora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1CE07B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Užsienio politika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Valstybės valdymas ir viešasis administravimas (LRVK)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AED1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637D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948AE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EK Skubios pagalbos palaikymo priemonė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EK Žemės ūkio produktų pardavimo skatinimo programa AGRIPROD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kaimynystės priemonė (ENI)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Partnerystės instrumentas (PI)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Europa piliečiams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6.Šiaurės šalių ministrų tarybos programos</w:t>
            </w:r>
          </w:p>
        </w:tc>
      </w:tr>
      <w:tr w:rsidR="001E7267" w:rsidRPr="001E7267" w14:paraId="2393AFEF" w14:textId="77777777" w:rsidTr="00EF0A55">
        <w:trPr>
          <w:trHeight w:val="988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7918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53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6A4F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180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6179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52CF9FFD" w14:textId="77777777" w:rsidTr="00EF0A55">
        <w:trPr>
          <w:trHeight w:val="968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D1208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10. Stiprinti nacionalinį saugumą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D946BD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Valstybės saugumas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Viešoji tvarka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Transportas ir ryšiai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7B91F6" w14:textId="77777777" w:rsidR="00B11B93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40EA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41633D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EK priemonė, prisidedanti prie stabilumo ir taikos (ICSP)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EK Skubios pagalbos palaikymo priemonė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savanoriškos humanitarinės pagalbos korpusas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Europos kaimynystės priemonė (ENI)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Prieglobsčio, migracijos ir integracijos fondas (AMIF)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TATENA Techninio bendradarbiavimo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6. CEF </w:t>
            </w:r>
          </w:p>
        </w:tc>
      </w:tr>
      <w:tr w:rsidR="001E7267" w:rsidRPr="001E7267" w14:paraId="1A6D8CB9" w14:textId="77777777" w:rsidTr="00EF0A55">
        <w:trPr>
          <w:trHeight w:val="1560"/>
        </w:trPr>
        <w:tc>
          <w:tcPr>
            <w:tcW w:w="100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16F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2E9A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33BB64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A8B60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 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C2E6A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16A8324" w14:textId="7CEFAE1B" w:rsidR="001D729D" w:rsidRDefault="001D729D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1D729D">
        <w:rPr>
          <w:rFonts w:ascii="Times New Roman" w:eastAsia="Times New Roman" w:hAnsi="Times New Roman" w:cs="Times New Roman"/>
          <w:color w:val="000000"/>
          <w:lang w:eastAsia="lt-LT"/>
        </w:rPr>
        <w:t>* Kitų tarptautinių finansavimo šaltinių sąrašas gali kisti</w:t>
      </w:r>
      <w:r w:rsidR="00B11B93">
        <w:rPr>
          <w:rFonts w:ascii="Times New Roman" w:eastAsia="Times New Roman" w:hAnsi="Times New Roman" w:cs="Times New Roman"/>
          <w:color w:val="000000"/>
          <w:lang w:eastAsia="lt-LT"/>
        </w:rPr>
        <w:t xml:space="preserve"> (nebaigtinis sąrašas)</w:t>
      </w:r>
    </w:p>
    <w:p w14:paraId="11F73EB8" w14:textId="552DC487" w:rsidR="00EF0A55" w:rsidRDefault="00EF0A55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7D944E9" w14:textId="45357EA1" w:rsidR="00EF0A55" w:rsidRDefault="00EF0A55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9D59D44" w14:textId="77777777" w:rsidR="00EF0A55" w:rsidRPr="00664B1F" w:rsidRDefault="00EF0A55" w:rsidP="00EF0A55">
      <w:pPr>
        <w:jc w:val="center"/>
        <w:rPr>
          <w:bCs/>
          <w:szCs w:val="24"/>
          <w:lang w:eastAsia="lt-LT"/>
        </w:rPr>
      </w:pPr>
      <w:r w:rsidRPr="00346ED3">
        <w:rPr>
          <w:bCs/>
          <w:szCs w:val="24"/>
          <w:lang w:eastAsia="lt-LT"/>
        </w:rPr>
        <w:t>________________________________________</w:t>
      </w:r>
    </w:p>
    <w:p w14:paraId="3047B41E" w14:textId="77777777" w:rsidR="00EF0A55" w:rsidRDefault="00EF0A55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0" w:name="_GoBack"/>
      <w:bookmarkEnd w:id="0"/>
    </w:p>
    <w:sectPr w:rsidR="00EF0A55" w:rsidSect="00AD03D2">
      <w:pgSz w:w="16838" w:h="11906" w:orient="landscape"/>
      <w:pgMar w:top="851" w:right="567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C67"/>
    <w:multiLevelType w:val="hybridMultilevel"/>
    <w:tmpl w:val="925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E2B"/>
    <w:multiLevelType w:val="hybridMultilevel"/>
    <w:tmpl w:val="B4C4596A"/>
    <w:lvl w:ilvl="0" w:tplc="850EF4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0949"/>
    <w:multiLevelType w:val="hybridMultilevel"/>
    <w:tmpl w:val="63FE6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5CE"/>
    <w:multiLevelType w:val="hybridMultilevel"/>
    <w:tmpl w:val="2848D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D2"/>
    <w:rsid w:val="000707DB"/>
    <w:rsid w:val="001C7855"/>
    <w:rsid w:val="001D729D"/>
    <w:rsid w:val="001E7267"/>
    <w:rsid w:val="002310C3"/>
    <w:rsid w:val="00281685"/>
    <w:rsid w:val="00291E9C"/>
    <w:rsid w:val="003055ED"/>
    <w:rsid w:val="007A1B5C"/>
    <w:rsid w:val="00935A2D"/>
    <w:rsid w:val="00A166DC"/>
    <w:rsid w:val="00A36395"/>
    <w:rsid w:val="00A976FA"/>
    <w:rsid w:val="00AD03D2"/>
    <w:rsid w:val="00B11B93"/>
    <w:rsid w:val="00B71665"/>
    <w:rsid w:val="00C34344"/>
    <w:rsid w:val="00C35254"/>
    <w:rsid w:val="00CF0CBC"/>
    <w:rsid w:val="00D22317"/>
    <w:rsid w:val="00DF301C"/>
    <w:rsid w:val="00E60DEA"/>
    <w:rsid w:val="00EF0A55"/>
    <w:rsid w:val="00F3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AA31"/>
  <w15:docId w15:val="{067132CA-B9AB-4968-8E33-20EA98E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4547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Liatkovskienė</dc:creator>
  <cp:lastModifiedBy>Daiva Žaromskytė</cp:lastModifiedBy>
  <cp:revision>2</cp:revision>
  <cp:lastPrinted>2020-03-13T09:49:00Z</cp:lastPrinted>
  <dcterms:created xsi:type="dcterms:W3CDTF">2020-08-31T13:46:00Z</dcterms:created>
  <dcterms:modified xsi:type="dcterms:W3CDTF">2020-08-31T13:46:00Z</dcterms:modified>
</cp:coreProperties>
</file>